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val="0"/>
          <w:bCs w:val="0"/>
          <w:sz w:val="32"/>
          <w:szCs w:val="32"/>
          <w:highlight w:val="none"/>
          <w:lang w:val="en-US" w:eastAsia="zh-CN"/>
        </w:rPr>
      </w:pPr>
      <w:r>
        <w:rPr>
          <w:rFonts w:hint="eastAsia" w:ascii="仿宋" w:hAnsi="仿宋" w:eastAsia="仿宋" w:cs="仿宋"/>
          <w:b w:val="0"/>
          <w:bCs w:val="0"/>
          <w:sz w:val="32"/>
          <w:szCs w:val="32"/>
          <w:highlight w:val="none"/>
          <w:lang w:val="en-US" w:eastAsia="zh-CN"/>
        </w:rPr>
        <w:t>附件1</w:t>
      </w:r>
    </w:p>
    <w:p>
      <w:pPr>
        <w:jc w:val="center"/>
        <w:rPr>
          <w:rFonts w:hint="eastAsia" w:ascii="黑体" w:hAnsi="黑体" w:eastAsia="黑体" w:cs="黑体"/>
          <w:sz w:val="36"/>
          <w:szCs w:val="36"/>
          <w:highlight w:val="none"/>
          <w:lang w:eastAsia="zh-CN"/>
        </w:rPr>
      </w:pPr>
    </w:p>
    <w:p>
      <w:pPr>
        <w:jc w:val="center"/>
        <w:rPr>
          <w:rFonts w:hint="eastAsia" w:ascii="黑体" w:hAnsi="黑体" w:eastAsia="黑体" w:cs="黑体"/>
          <w:sz w:val="36"/>
          <w:szCs w:val="36"/>
          <w:highlight w:val="none"/>
          <w:lang w:eastAsia="zh-CN"/>
        </w:rPr>
      </w:pPr>
      <w:r>
        <w:rPr>
          <w:rFonts w:hint="eastAsia" w:ascii="黑体" w:hAnsi="黑体" w:eastAsia="黑体" w:cs="黑体"/>
          <w:sz w:val="36"/>
          <w:szCs w:val="36"/>
          <w:highlight w:val="none"/>
          <w:lang w:eastAsia="zh-CN"/>
        </w:rPr>
        <w:t>商洛市发展和改革委员会</w:t>
      </w:r>
    </w:p>
    <w:p>
      <w:pPr>
        <w:jc w:val="center"/>
        <w:rPr>
          <w:rFonts w:hint="eastAsia" w:ascii="黑体" w:hAnsi="黑体" w:eastAsia="黑体" w:cs="黑体"/>
          <w:sz w:val="36"/>
          <w:szCs w:val="36"/>
          <w:highlight w:val="none"/>
        </w:rPr>
      </w:pPr>
      <w:r>
        <w:rPr>
          <w:rFonts w:hint="eastAsia" w:ascii="黑体" w:hAnsi="黑体" w:eastAsia="黑体" w:cs="黑体"/>
          <w:sz w:val="36"/>
          <w:szCs w:val="36"/>
          <w:highlight w:val="none"/>
        </w:rPr>
        <w:t>20</w:t>
      </w:r>
      <w:r>
        <w:rPr>
          <w:rFonts w:hint="eastAsia" w:ascii="黑体" w:hAnsi="黑体" w:eastAsia="黑体" w:cs="黑体"/>
          <w:sz w:val="36"/>
          <w:szCs w:val="36"/>
          <w:highlight w:val="none"/>
          <w:lang w:val="en-US" w:eastAsia="zh-CN"/>
        </w:rPr>
        <w:t>21</w:t>
      </w:r>
      <w:r>
        <w:rPr>
          <w:rFonts w:hint="eastAsia" w:ascii="黑体" w:hAnsi="黑体" w:eastAsia="黑体" w:cs="黑体"/>
          <w:sz w:val="36"/>
          <w:szCs w:val="36"/>
          <w:highlight w:val="none"/>
        </w:rPr>
        <w:t>年部门综合预算</w:t>
      </w:r>
    </w:p>
    <w:p>
      <w:pPr>
        <w:jc w:val="both"/>
        <w:rPr>
          <w:rFonts w:hint="eastAsia"/>
          <w:highlight w:val="none"/>
          <w:lang w:eastAsia="zh-CN"/>
        </w:rPr>
      </w:pPr>
    </w:p>
    <w:p>
      <w:pPr>
        <w:jc w:val="center"/>
        <w:rPr>
          <w:rFonts w:hint="eastAsia"/>
          <w:sz w:val="36"/>
          <w:szCs w:val="36"/>
          <w:highlight w:val="none"/>
          <w:lang w:eastAsia="zh-CN"/>
        </w:rPr>
      </w:pPr>
      <w:r>
        <w:rPr>
          <w:rFonts w:hint="eastAsia"/>
          <w:b/>
          <w:bCs/>
          <w:sz w:val="36"/>
          <w:szCs w:val="36"/>
          <w:highlight w:val="none"/>
          <w:lang w:eastAsia="zh-CN"/>
        </w:rPr>
        <w:t>目录</w:t>
      </w:r>
    </w:p>
    <w:p>
      <w:pPr>
        <w:jc w:val="left"/>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第一部分</w:t>
      </w:r>
      <w:r>
        <w:rPr>
          <w:rFonts w:hint="eastAsia" w:asciiTheme="minorEastAsia" w:hAnsiTheme="minorEastAsia" w:eastAsiaTheme="minorEastAsia" w:cstheme="minorEastAsia"/>
          <w:b/>
          <w:bCs/>
          <w:sz w:val="32"/>
          <w:szCs w:val="32"/>
          <w:highlight w:val="none"/>
          <w:lang w:val="en-US" w:eastAsia="zh-CN"/>
        </w:rPr>
        <w:t xml:space="preserve"> 部门概况</w:t>
      </w:r>
    </w:p>
    <w:p>
      <w:pPr>
        <w:jc w:val="left"/>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一、</w:t>
      </w:r>
      <w:r>
        <w:rPr>
          <w:rFonts w:hint="eastAsia" w:asciiTheme="minorEastAsia" w:hAnsiTheme="minorEastAsia" w:eastAsiaTheme="minorEastAsia" w:cstheme="minorEastAsia"/>
          <w:sz w:val="32"/>
          <w:szCs w:val="32"/>
          <w:highlight w:val="none"/>
        </w:rPr>
        <w:t>部门主要职责</w:t>
      </w:r>
      <w:r>
        <w:rPr>
          <w:rFonts w:hint="eastAsia" w:asciiTheme="minorEastAsia" w:hAnsiTheme="minorEastAsia" w:eastAsiaTheme="minorEastAsia" w:cstheme="minorEastAsia"/>
          <w:sz w:val="32"/>
          <w:szCs w:val="32"/>
          <w:highlight w:val="none"/>
          <w:lang w:eastAsia="zh-CN"/>
        </w:rPr>
        <w:t>及机构设置</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二、</w:t>
      </w:r>
      <w:r>
        <w:rPr>
          <w:rFonts w:hint="eastAsia" w:asciiTheme="minorEastAsia" w:hAnsiTheme="minorEastAsia" w:eastAsiaTheme="minorEastAsia" w:cstheme="minorEastAsia"/>
          <w:sz w:val="32"/>
          <w:szCs w:val="32"/>
          <w:highlight w:val="none"/>
          <w:lang w:eastAsia="zh-CN"/>
        </w:rPr>
        <w:t>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年年度部门工作任务</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三、部门预算单位构成</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rPr>
        <w:t>四、部门人员情况说明</w:t>
      </w:r>
    </w:p>
    <w:p>
      <w:p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第二部分</w:t>
      </w:r>
      <w:r>
        <w:rPr>
          <w:rFonts w:hint="eastAsia" w:asciiTheme="minorEastAsia" w:hAnsiTheme="minorEastAsia" w:eastAsiaTheme="minorEastAsia" w:cstheme="minorEastAsia"/>
          <w:b/>
          <w:bCs/>
          <w:sz w:val="32"/>
          <w:szCs w:val="32"/>
          <w:highlight w:val="none"/>
          <w:lang w:val="en-US" w:eastAsia="zh-CN"/>
        </w:rPr>
        <w:t xml:space="preserve"> 收支情况</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五、202</w:t>
      </w:r>
      <w:r>
        <w:rPr>
          <w:rFonts w:hint="eastAsia" w:asciiTheme="minorEastAsia" w:hAnsiTheme="minorEastAsia" w:eastAsiaTheme="minorEastAsia" w:cstheme="minorEastAsia"/>
          <w:sz w:val="32"/>
          <w:szCs w:val="32"/>
          <w:highlight w:val="none"/>
          <w:lang w:val="en-US" w:eastAsia="zh-CN"/>
        </w:rPr>
        <w:t>1</w:t>
      </w:r>
      <w:r>
        <w:rPr>
          <w:rFonts w:hint="eastAsia" w:asciiTheme="minorEastAsia" w:hAnsiTheme="minorEastAsia" w:eastAsiaTheme="minorEastAsia" w:cstheme="minorEastAsia"/>
          <w:sz w:val="32"/>
          <w:szCs w:val="32"/>
          <w:highlight w:val="none"/>
        </w:rPr>
        <w:t>年部门预算收支说明</w:t>
      </w:r>
    </w:p>
    <w:p>
      <w:pPr>
        <w:rPr>
          <w:rFonts w:hint="eastAsia" w:asciiTheme="minorEastAsia" w:hAnsiTheme="minorEastAsia" w:eastAsiaTheme="minorEastAsia" w:cstheme="minorEastAsia"/>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第三部分</w:t>
      </w:r>
      <w:r>
        <w:rPr>
          <w:rFonts w:hint="eastAsia" w:asciiTheme="minorEastAsia" w:hAnsiTheme="minorEastAsia" w:eastAsiaTheme="minorEastAsia" w:cstheme="minorEastAsia"/>
          <w:b/>
          <w:bCs/>
          <w:sz w:val="32"/>
          <w:szCs w:val="32"/>
          <w:highlight w:val="none"/>
          <w:lang w:val="en-US" w:eastAsia="zh-CN"/>
        </w:rPr>
        <w:t xml:space="preserve">  其他说明情况</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六</w:t>
      </w:r>
      <w:r>
        <w:rPr>
          <w:rFonts w:hint="eastAsia" w:asciiTheme="minorEastAsia" w:hAnsiTheme="minorEastAsia" w:eastAsiaTheme="minorEastAsia" w:cstheme="minorEastAsia"/>
          <w:sz w:val="32"/>
          <w:szCs w:val="32"/>
          <w:highlight w:val="none"/>
        </w:rPr>
        <w:t>、部门预算</w:t>
      </w:r>
      <w:r>
        <w:rPr>
          <w:rFonts w:hint="eastAsia" w:asciiTheme="minorEastAsia" w:hAnsiTheme="minorEastAsia" w:eastAsiaTheme="minorEastAsia" w:cstheme="minorEastAsia"/>
          <w:sz w:val="32"/>
          <w:szCs w:val="32"/>
          <w:highlight w:val="none"/>
          <w:lang w:eastAsia="zh-CN"/>
        </w:rPr>
        <w:t>“三公”经费等情况说明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七</w:t>
      </w:r>
      <w:r>
        <w:rPr>
          <w:rFonts w:hint="eastAsia" w:asciiTheme="minorEastAsia" w:hAnsiTheme="minorEastAsia" w:eastAsiaTheme="minorEastAsia" w:cstheme="minorEastAsia"/>
          <w:sz w:val="32"/>
          <w:szCs w:val="32"/>
          <w:highlight w:val="none"/>
        </w:rPr>
        <w:t>、部门国有资产占有使用</w:t>
      </w:r>
      <w:r>
        <w:rPr>
          <w:rFonts w:hint="eastAsia" w:asciiTheme="minorEastAsia" w:hAnsiTheme="minorEastAsia" w:eastAsiaTheme="minorEastAsia" w:cstheme="minorEastAsia"/>
          <w:sz w:val="32"/>
          <w:szCs w:val="32"/>
          <w:highlight w:val="none"/>
          <w:lang w:eastAsia="zh-CN"/>
        </w:rPr>
        <w:t>及资产购置</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八、部门政府采购</w:t>
      </w:r>
      <w:r>
        <w:rPr>
          <w:rFonts w:hint="eastAsia" w:asciiTheme="minorEastAsia" w:hAnsiTheme="minorEastAsia" w:eastAsiaTheme="minorEastAsia" w:cstheme="minorEastAsia"/>
          <w:sz w:val="32"/>
          <w:szCs w:val="32"/>
          <w:highlight w:val="none"/>
        </w:rPr>
        <w:t>情况说明</w:t>
      </w:r>
    </w:p>
    <w:p>
      <w:pPr>
        <w:rPr>
          <w:rFonts w:hint="eastAsia" w:asciiTheme="minorEastAsia" w:hAnsiTheme="minorEastAsia" w:eastAsiaTheme="minorEastAsia" w:cstheme="minorEastAsia"/>
          <w:sz w:val="32"/>
          <w:szCs w:val="32"/>
          <w:highlight w:val="none"/>
        </w:rPr>
      </w:pPr>
      <w:r>
        <w:rPr>
          <w:rFonts w:hint="eastAsia" w:asciiTheme="minorEastAsia" w:hAnsiTheme="minorEastAsia" w:eastAsiaTheme="minorEastAsia" w:cstheme="minorEastAsia"/>
          <w:sz w:val="32"/>
          <w:szCs w:val="32"/>
          <w:highlight w:val="none"/>
          <w:lang w:eastAsia="zh-CN"/>
        </w:rPr>
        <w:t>九、部门预算</w:t>
      </w:r>
      <w:r>
        <w:rPr>
          <w:rFonts w:hint="eastAsia" w:asciiTheme="minorEastAsia" w:hAnsiTheme="minorEastAsia" w:eastAsiaTheme="minorEastAsia" w:cstheme="minorEastAsia"/>
          <w:sz w:val="32"/>
          <w:szCs w:val="32"/>
          <w:highlight w:val="none"/>
        </w:rPr>
        <w:t>绩效目标说明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w:t>
      </w:r>
      <w:r>
        <w:rPr>
          <w:rFonts w:hint="eastAsia" w:asciiTheme="minorEastAsia" w:hAnsiTheme="minorEastAsia" w:eastAsiaTheme="minorEastAsia" w:cstheme="minorEastAsia"/>
          <w:sz w:val="32"/>
          <w:szCs w:val="32"/>
          <w:highlight w:val="none"/>
        </w:rPr>
        <w:t>、</w:t>
      </w:r>
      <w:r>
        <w:rPr>
          <w:rFonts w:hint="eastAsia" w:asciiTheme="minorEastAsia" w:hAnsiTheme="minorEastAsia" w:eastAsiaTheme="minorEastAsia" w:cstheme="minorEastAsia"/>
          <w:sz w:val="32"/>
          <w:szCs w:val="32"/>
          <w:highlight w:val="none"/>
          <w:lang w:eastAsia="zh-CN"/>
        </w:rPr>
        <w:t>机关运行经费安排说明</w:t>
      </w:r>
    </w:p>
    <w:p>
      <w:pPr>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十一、专业名词解释</w:t>
      </w:r>
    </w:p>
    <w:p>
      <w:pPr>
        <w:rPr>
          <w:rFonts w:hint="eastAsia" w:asciiTheme="minorEastAsia" w:hAnsiTheme="minorEastAsia" w:eastAsiaTheme="minorEastAsia" w:cstheme="minorEastAsia"/>
          <w:b/>
          <w:bCs/>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第四部分</w:t>
      </w:r>
      <w:r>
        <w:rPr>
          <w:rFonts w:hint="eastAsia" w:asciiTheme="minorEastAsia" w:hAnsiTheme="minorEastAsia" w:eastAsiaTheme="minorEastAsia" w:cstheme="minorEastAsia"/>
          <w:b/>
          <w:bCs/>
          <w:sz w:val="32"/>
          <w:szCs w:val="32"/>
          <w:highlight w:val="none"/>
          <w:lang w:val="en-US" w:eastAsia="zh-CN"/>
        </w:rPr>
        <w:t xml:space="preserve">  公开报表</w:t>
      </w:r>
    </w:p>
    <w:p>
      <w:pPr>
        <w:jc w:val="both"/>
        <w:rPr>
          <w:rFonts w:hint="eastAsia" w:asciiTheme="minorEastAsia" w:hAnsiTheme="minorEastAsia" w:eastAsiaTheme="minorEastAsia" w:cstheme="minorEastAsia"/>
          <w:sz w:val="32"/>
          <w:szCs w:val="32"/>
          <w:highlight w:val="none"/>
          <w:lang w:eastAsia="zh-CN"/>
        </w:rPr>
      </w:pPr>
      <w:r>
        <w:rPr>
          <w:rFonts w:hint="eastAsia" w:asciiTheme="minorEastAsia" w:hAnsiTheme="minorEastAsia" w:eastAsiaTheme="minorEastAsia" w:cstheme="minorEastAsia"/>
          <w:sz w:val="32"/>
          <w:szCs w:val="32"/>
          <w:highlight w:val="none"/>
          <w:lang w:eastAsia="zh-CN"/>
        </w:rPr>
        <w:t>（具体部门预算公开报表）</w:t>
      </w:r>
    </w:p>
    <w:p>
      <w:pPr>
        <w:jc w:val="center"/>
        <w:rPr>
          <w:rFonts w:hint="eastAsia" w:asciiTheme="majorEastAsia" w:hAnsiTheme="majorEastAsia" w:eastAsiaTheme="majorEastAsia" w:cstheme="majorEastAsia"/>
          <w:b/>
          <w:bCs/>
          <w:sz w:val="32"/>
          <w:szCs w:val="32"/>
          <w:highlight w:val="none"/>
          <w:lang w:val="en-US" w:eastAsia="zh-CN"/>
        </w:rPr>
      </w:pPr>
      <w:r>
        <w:rPr>
          <w:rFonts w:hint="eastAsia" w:asciiTheme="majorEastAsia" w:hAnsiTheme="majorEastAsia" w:eastAsiaTheme="majorEastAsia" w:cstheme="majorEastAsia"/>
          <w:b/>
          <w:bCs/>
          <w:sz w:val="32"/>
          <w:szCs w:val="32"/>
          <w:highlight w:val="none"/>
          <w:lang w:eastAsia="zh-CN"/>
        </w:rPr>
        <w:t>第一部分</w:t>
      </w:r>
      <w:r>
        <w:rPr>
          <w:rFonts w:hint="eastAsia" w:asciiTheme="majorEastAsia" w:hAnsiTheme="majorEastAsia" w:eastAsiaTheme="majorEastAsia" w:cstheme="majorEastAsia"/>
          <w:b/>
          <w:bCs/>
          <w:sz w:val="32"/>
          <w:szCs w:val="32"/>
          <w:highlight w:val="none"/>
          <w:lang w:val="en-US" w:eastAsia="zh-CN"/>
        </w:rPr>
        <w:t xml:space="preserve">  部门概况</w:t>
      </w:r>
    </w:p>
    <w:p>
      <w:pPr>
        <w:rPr>
          <w:rFonts w:hint="eastAsia"/>
          <w:highlight w:val="none"/>
        </w:rPr>
      </w:pP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r>
        <w:rPr>
          <w:rFonts w:hint="eastAsia"/>
          <w:highlight w:val="none"/>
        </w:rPr>
        <w:tab/>
      </w:r>
    </w:p>
    <w:p>
      <w:pPr>
        <w:numPr>
          <w:ilvl w:val="0"/>
          <w:numId w:val="1"/>
        </w:numPr>
        <w:ind w:firstLine="64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rPr>
        <w:t>部门主要职责</w:t>
      </w:r>
      <w:r>
        <w:rPr>
          <w:rFonts w:hint="eastAsia" w:ascii="仿宋_GB2312" w:hAnsi="仿宋_GB2312" w:eastAsia="仿宋_GB2312" w:cs="仿宋_GB2312"/>
          <w:b/>
          <w:bCs/>
          <w:sz w:val="32"/>
          <w:szCs w:val="32"/>
          <w:highlight w:val="none"/>
          <w:lang w:eastAsia="zh-CN"/>
        </w:rPr>
        <w:t>及机构设置</w:t>
      </w:r>
    </w:p>
    <w:p>
      <w:pPr>
        <w:pStyle w:val="3"/>
        <w:widowControl w:val="0"/>
        <w:spacing w:before="0" w:beforeAutospacing="0" w:after="0" w:afterAutospacing="0" w:line="600" w:lineRule="exact"/>
        <w:ind w:firstLine="640" w:firstLineChars="200"/>
        <w:rPr>
          <w:rFonts w:hint="default" w:ascii="仿宋_GB2312" w:hAnsi="仿宋_GB2312" w:eastAsia="仿宋_GB2312" w:cs="仿宋_GB2312"/>
          <w:b w:val="0"/>
          <w:bCs w:val="0"/>
          <w:sz w:val="32"/>
          <w:szCs w:val="32"/>
          <w:highlight w:val="none"/>
          <w:lang w:val="en-US" w:eastAsia="zh-CN"/>
        </w:rPr>
      </w:pPr>
      <w:r>
        <w:rPr>
          <w:rFonts w:hint="eastAsia" w:ascii="仿宋_GB2312" w:eastAsia="仿宋_GB2312"/>
          <w:sz w:val="32"/>
          <w:szCs w:val="32"/>
        </w:rPr>
        <w:t>（一）部门主要职责</w:t>
      </w:r>
    </w:p>
    <w:p>
      <w:pPr>
        <w:pStyle w:val="3"/>
        <w:widowControl w:val="0"/>
        <w:spacing w:before="0" w:beforeAutospacing="0" w:after="0" w:afterAutospacing="0" w:line="600" w:lineRule="exact"/>
        <w:ind w:firstLine="640" w:firstLineChars="200"/>
        <w:rPr>
          <w:rFonts w:hint="eastAsia" w:ascii="仿宋_GB2312" w:hAnsi="华文仿宋" w:eastAsia="仿宋_GB2312" w:cs="华文仿宋"/>
          <w:sz w:val="32"/>
          <w:szCs w:val="32"/>
        </w:rPr>
      </w:pPr>
      <w:r>
        <w:rPr>
          <w:rFonts w:hint="eastAsia" w:ascii="仿宋_GB2312" w:eastAsia="仿宋_GB2312"/>
          <w:sz w:val="32"/>
          <w:szCs w:val="32"/>
        </w:rPr>
        <w:t>1、</w:t>
      </w:r>
      <w:r>
        <w:rPr>
          <w:rFonts w:hint="eastAsia" w:ascii="仿宋_GB2312" w:hAnsi="华文仿宋" w:eastAsia="仿宋_GB2312" w:cs="华文仿宋"/>
          <w:sz w:val="32"/>
          <w:szCs w:val="32"/>
        </w:rPr>
        <w:t>负责编制全市国民经济和社会发展战略、中长期规划和年度计划并推动实施；牵头组织全市统一规划体系建设，强化政策协同，形成规划合力；负责市级专项规划、区域规划、空间规划与全市发展规划的统筹衔接；负责拟订全市国民经济和社会发展、经济体制改革和对外开放的规范性文件。</w:t>
      </w:r>
    </w:p>
    <w:p>
      <w:pPr>
        <w:pStyle w:val="3"/>
        <w:widowControl w:val="0"/>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2、拟订大力发展“三个经济”、加快建设现代化经济体系、推动高质量发展的总体目标、主要任务和支持政策；组织开展全市重要战略规划、重要政策、重要工程等方面的评估督导，提出调整的意见建议。</w:t>
      </w:r>
    </w:p>
    <w:p>
      <w:pPr>
        <w:pStyle w:val="3"/>
        <w:widowControl w:val="0"/>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3、拟订全市国民经济和社会发展主要目标，监测预警经济和社会发展态势，协调解决重大问题，提出政策调整的意见建议；负责贯彻执行中、省有关价格方面的法律法规和政策规定，按照定价目录，对实行政府定价、政府指导价的商品和服务价格以及行政事业性收费实施定价管理；参与拟订全市财政政策和土地政策。</w:t>
      </w:r>
    </w:p>
    <w:p>
      <w:pPr>
        <w:pStyle w:val="3"/>
        <w:widowControl w:val="0"/>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4、协调全市经济体制改革有关工作，提出相关改革建议；负责全市供给侧结构性改革，协调推进全市产权制度改革和要素市场化配置改革；负责完善全市基本经济制度和现代市场化体系建设，组织实施市场准入负面清单制度；牵头推进全市优化营商环境工作。</w:t>
      </w:r>
    </w:p>
    <w:p>
      <w:pPr>
        <w:pStyle w:val="3"/>
        <w:widowControl w:val="0"/>
        <w:spacing w:before="0" w:beforeAutospacing="0" w:after="0" w:afterAutospacing="0" w:line="600" w:lineRule="exact"/>
        <w:ind w:firstLine="640" w:firstLineChars="200"/>
        <w:rPr>
          <w:rFonts w:hint="eastAsia" w:ascii="仿宋_GB2312" w:eastAsia="仿宋_GB2312"/>
          <w:spacing w:val="-20"/>
          <w:sz w:val="32"/>
          <w:szCs w:val="32"/>
        </w:rPr>
      </w:pPr>
      <w:r>
        <w:rPr>
          <w:rFonts w:hint="eastAsia" w:ascii="仿宋_GB2312" w:eastAsia="仿宋_GB2312"/>
          <w:sz w:val="32"/>
          <w:szCs w:val="32"/>
        </w:rPr>
        <w:t>5、负责提出全市利用外资和境外投资的有关政策建议</w:t>
      </w:r>
      <w:r>
        <w:rPr>
          <w:rFonts w:hint="eastAsia" w:ascii="仿宋_GB2312" w:eastAsia="仿宋_GB2312"/>
          <w:spacing w:val="-20"/>
          <w:sz w:val="32"/>
          <w:szCs w:val="32"/>
        </w:rPr>
        <w:t>，牵头推进</w:t>
      </w:r>
      <w:r>
        <w:rPr>
          <w:rFonts w:hint="eastAsia" w:ascii="仿宋_GB2312" w:eastAsia="仿宋_GB2312"/>
          <w:sz w:val="32"/>
          <w:szCs w:val="32"/>
        </w:rPr>
        <w:t>我市“一带一路”建设有关工作；会同有关部门落实外商投资指导目录、中西部地区外商投资优势产业目录、外商投资准入负面清单；负责全市全口径外债总量控制、结构优化和监测工作。</w:t>
      </w:r>
    </w:p>
    <w:p>
      <w:pPr>
        <w:pStyle w:val="3"/>
        <w:widowControl w:val="0"/>
        <w:spacing w:before="0" w:beforeAutospacing="0" w:after="0" w:afterAutospacing="0" w:line="600" w:lineRule="exact"/>
        <w:ind w:firstLine="800" w:firstLineChars="250"/>
        <w:rPr>
          <w:rFonts w:hint="eastAsia" w:ascii="仿宋_GB2312" w:eastAsia="仿宋_GB2312"/>
          <w:sz w:val="32"/>
          <w:szCs w:val="32"/>
        </w:rPr>
      </w:pPr>
      <w:r>
        <w:rPr>
          <w:rFonts w:hint="eastAsia" w:ascii="仿宋_GB2312" w:eastAsia="仿宋_GB2312"/>
          <w:sz w:val="32"/>
          <w:szCs w:val="32"/>
        </w:rPr>
        <w:t>6、负责全市投资综合管理，拟订全市固定资产投资总规模、结构调控目标和管理政策，指导全市投资和项目建设管理工作；会同有关部门安排财政性建设资金，按规定权限审核重大建设项目；负责规划全市重大建设项目和生产力布局；负责提出民间投资的政策措施并推动落实。</w:t>
      </w:r>
    </w:p>
    <w:p>
      <w:pPr>
        <w:pStyle w:val="3"/>
        <w:widowControl w:val="0"/>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7、负责落实区域协调发展战略、新型城镇化战略和重大政策，编制相关区域规划并组织实施；负责落实西部大开发等国家重大区域发展战略的有关政策，推进我市在陕南区域协调发展中焕发新活力、迈上新台阶；负责拟订老少边贫和特殊困难地区发展规划政策；负责编制以工代赈计划，会同有关部门开展易地扶贫搬迁工作；统筹协调区域合作和对口支援工作；负责编制新型城镇化规划。</w:t>
      </w:r>
    </w:p>
    <w:p>
      <w:pPr>
        <w:pStyle w:val="3"/>
        <w:widowControl w:val="0"/>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8、负责落实中、省综合性产业政策，协调推进全市重大基础设施建设；负责衔接一、二、三产业发展规划和政策，推进一、二、三产业协调发展；负责拟订服务业、现代物流业发展规划和政策并组织实施；综合研判全市消费变动趋势，拟订促进消费的综合性政策并组织实施。</w:t>
      </w:r>
    </w:p>
    <w:p>
      <w:pPr>
        <w:pStyle w:val="3"/>
        <w:widowControl w:val="0"/>
        <w:spacing w:before="0" w:beforeAutospacing="0" w:after="0" w:afterAutospacing="0" w:line="600" w:lineRule="exact"/>
        <w:ind w:firstLine="640" w:firstLineChars="200"/>
        <w:rPr>
          <w:rFonts w:hint="eastAsia" w:ascii="仿宋_GB2312" w:eastAsia="仿宋_GB2312"/>
          <w:sz w:val="32"/>
          <w:szCs w:val="32"/>
        </w:rPr>
      </w:pPr>
      <w:r>
        <w:rPr>
          <w:rFonts w:hint="eastAsia" w:ascii="仿宋_GB2312" w:eastAsia="仿宋_GB2312"/>
          <w:sz w:val="32"/>
          <w:szCs w:val="32"/>
        </w:rPr>
        <w:t>9、推动实施全市创新驱动发展战略；会同相关部门拟订全市创新发展、培育经济发展新动能和推进创新创业的规划和政策，推进高技术产业、战略性新兴产业和数字经济发展；负责协调产业升级、重大技术装备推广应用等方面的重大问题。</w:t>
      </w:r>
    </w:p>
    <w:p>
      <w:pPr>
        <w:pStyle w:val="3"/>
        <w:widowControl w:val="0"/>
        <w:spacing w:before="0" w:beforeAutospacing="0" w:after="0" w:afterAutospacing="0" w:line="600" w:lineRule="exact"/>
        <w:ind w:firstLine="800" w:firstLineChars="250"/>
        <w:rPr>
          <w:rFonts w:hint="eastAsia" w:ascii="仿宋_GB2312" w:hAnsi="华文仿宋" w:eastAsia="仿宋_GB2312" w:cs="华文仿宋"/>
          <w:sz w:val="32"/>
          <w:szCs w:val="32"/>
        </w:rPr>
      </w:pPr>
      <w:r>
        <w:rPr>
          <w:rFonts w:hint="eastAsia" w:ascii="仿宋_GB2312" w:eastAsia="仿宋_GB2312"/>
          <w:sz w:val="32"/>
          <w:szCs w:val="32"/>
        </w:rPr>
        <w:t>10、</w:t>
      </w:r>
      <w:r>
        <w:rPr>
          <w:rFonts w:hint="eastAsia" w:ascii="仿宋_GB2312" w:hAnsi="华文仿宋" w:eastAsia="仿宋_GB2312" w:cs="华文仿宋"/>
          <w:sz w:val="32"/>
          <w:szCs w:val="32"/>
        </w:rPr>
        <w:t>跟踪研判涉及全市经济安全、生态安全、资源安全、科技安全、社会安全等各类风险隐患，提出相关意见建议；会同相关部门建立健全全市经济、生态、资源等重点领域安全工作协调机制；负责全市重要商品总量平衡和宏观调控，拟订重要工业品、原材料和重要农产品进出口调控计划并协调落实。</w:t>
      </w:r>
      <w:r>
        <w:rPr>
          <w:rFonts w:hint="eastAsia" w:ascii="仿宋_GB2312" w:eastAsia="仿宋_GB2312"/>
          <w:sz w:val="32"/>
          <w:szCs w:val="32"/>
        </w:rPr>
        <w:t>11、</w:t>
      </w:r>
      <w:r>
        <w:rPr>
          <w:rFonts w:hint="eastAsia" w:ascii="仿宋_GB2312" w:hAnsi="华文仿宋" w:eastAsia="仿宋_GB2312" w:cs="华文仿宋"/>
          <w:sz w:val="32"/>
          <w:szCs w:val="32"/>
        </w:rPr>
        <w:t>负责全市社会发展与国民经济发展的政策衔接，协调解决有关重大问题；组织编制全市社会发展战略、总体规划，统筹推进基本公共服务体系建设和收入分配制度改革，拟订促进就业、完善社会保障与经济协调发展的意见建议；牵头开展全市社会信用体系建设，负责编制实施规划，优化资源配置，加强督促检查，协调推进政务诚信、商务诚信、社会诚信和司法公信建设工作。</w:t>
      </w:r>
    </w:p>
    <w:p>
      <w:pPr>
        <w:pStyle w:val="3"/>
        <w:widowControl w:val="0"/>
        <w:spacing w:before="0" w:beforeAutospacing="0" w:after="0" w:afterAutospacing="0" w:line="600" w:lineRule="exact"/>
        <w:ind w:firstLine="800" w:firstLineChars="250"/>
        <w:rPr>
          <w:rFonts w:hint="eastAsia" w:ascii="仿宋_GB2312" w:hAnsi="华文仿宋" w:eastAsia="仿宋_GB2312" w:cs="华文仿宋"/>
          <w:sz w:val="32"/>
          <w:szCs w:val="32"/>
        </w:rPr>
      </w:pPr>
      <w:r>
        <w:rPr>
          <w:rFonts w:hint="eastAsia" w:ascii="仿宋_GB2312" w:eastAsia="仿宋_GB2312"/>
          <w:sz w:val="32"/>
          <w:szCs w:val="32"/>
        </w:rPr>
        <w:t>12、推进实施可持续发展战略，推动全市生态文明建设和改革，协调生态环境保护与修复、能源资源节约和综合利用工作；贯彻执行生态保护补偿机制有关政策措施，负责协调全市环保产业和清洁生产促进有关工作；负责提出能源消费控制目标、任务并组织实施。</w:t>
      </w:r>
    </w:p>
    <w:p>
      <w:pPr>
        <w:pStyle w:val="3"/>
        <w:widowControl w:val="0"/>
        <w:spacing w:before="0" w:beforeAutospacing="0" w:after="0" w:afterAutospacing="0" w:line="600" w:lineRule="exact"/>
        <w:ind w:firstLine="800" w:firstLineChars="250"/>
        <w:rPr>
          <w:rFonts w:hint="eastAsia" w:ascii="仿宋_GB2312" w:eastAsia="仿宋_GB2312"/>
          <w:sz w:val="32"/>
          <w:szCs w:val="32"/>
        </w:rPr>
      </w:pPr>
      <w:r>
        <w:rPr>
          <w:rFonts w:hint="eastAsia" w:ascii="仿宋_GB2312" w:eastAsia="仿宋_GB2312"/>
          <w:sz w:val="32"/>
          <w:szCs w:val="32"/>
        </w:rPr>
        <w:t>13、</w:t>
      </w:r>
      <w:r>
        <w:rPr>
          <w:rFonts w:hint="eastAsia" w:ascii="仿宋_GB2312" w:hAnsi="华文仿宋" w:eastAsia="仿宋_GB2312" w:cs="华文仿宋"/>
          <w:sz w:val="32"/>
          <w:szCs w:val="32"/>
        </w:rPr>
        <w:t>负责秦岭生态环境保护的统筹规划、综合协调和监督检查工作；负责编制全市秦岭生态环境保护总体规划和专项规划并组织实施；负责秦岭生态环境状况调研工作，提出秦岭生态环境保护政策的建议；负责秦岭生态环境保护的组织协调工作，建立秦岭生态环境保护政务信息平台系统，发布秦岭生态环境保护公告和相关信息；负责秦岭生态环境保护项目的确定和申报工作；负责秦岭生态环境保护法规制度贯彻执行情况的监督检查，依法开展专项整治。</w:t>
      </w:r>
    </w:p>
    <w:p>
      <w:pPr>
        <w:widowControl/>
        <w:spacing w:line="600" w:lineRule="exact"/>
        <w:ind w:firstLine="640" w:firstLineChars="200"/>
        <w:rPr>
          <w:rFonts w:hint="eastAsia" w:ascii="仿宋_GB2312" w:hAnsi="华文仿宋" w:eastAsia="仿宋_GB2312" w:cs="华文仿宋"/>
          <w:sz w:val="32"/>
          <w:szCs w:val="32"/>
        </w:rPr>
      </w:pPr>
      <w:r>
        <w:rPr>
          <w:rFonts w:hint="eastAsia" w:ascii="仿宋_GB2312" w:eastAsia="仿宋_GB2312"/>
          <w:sz w:val="32"/>
          <w:szCs w:val="32"/>
        </w:rPr>
        <w:t>14、</w:t>
      </w:r>
      <w:r>
        <w:rPr>
          <w:rFonts w:hint="eastAsia" w:ascii="仿宋_GB2312" w:hAnsi="华文仿宋" w:eastAsia="仿宋_GB2312" w:cs="华文仿宋"/>
          <w:sz w:val="32"/>
          <w:szCs w:val="32"/>
        </w:rPr>
        <w:t>履行全市粮食（含食用油）流通行业管理职责；负责全市粮食（含食用油）监测预警，保障政策性粮食（含食用油）供应；负责管理全市粮食（含食用油）、棉花、食糖、石油、天然气等重要物资储备，拟订市级储备规模、总体布局和收购、轮换、销售、动用计划并组织实施；负责市级救灾物资的收储、轮换和日常管理，根据应急管理部门的动用指令按程序组织调出。</w:t>
      </w:r>
    </w:p>
    <w:p>
      <w:pPr>
        <w:pStyle w:val="3"/>
        <w:widowControl w:val="0"/>
        <w:spacing w:before="0" w:beforeAutospacing="0" w:after="0" w:afterAutospacing="0" w:line="600" w:lineRule="exact"/>
        <w:ind w:firstLine="800" w:firstLineChars="250"/>
        <w:rPr>
          <w:rFonts w:hint="eastAsia" w:ascii="仿宋_GB2312" w:eastAsia="仿宋_GB2312"/>
          <w:sz w:val="32"/>
          <w:szCs w:val="32"/>
        </w:rPr>
      </w:pPr>
      <w:r>
        <w:rPr>
          <w:rFonts w:hint="eastAsia" w:ascii="仿宋_GB2312" w:eastAsia="仿宋_GB2312"/>
          <w:sz w:val="32"/>
          <w:szCs w:val="32"/>
        </w:rPr>
        <w:t>15、负责编制全市军民融合工作发展规划和年度计划并组织实施；负责全市军民融合发展项目和有关事项的协调推进工作；负责军民融合协同创新，统筹推进军地人才联合培养和交流共享工作；负责经济建设和国防建设协调发展以及国民经济（装备）动员有关工作。</w:t>
      </w:r>
    </w:p>
    <w:p>
      <w:pPr>
        <w:pStyle w:val="3"/>
        <w:widowControl w:val="0"/>
        <w:spacing w:before="0" w:beforeAutospacing="0" w:after="0" w:afterAutospacing="0" w:line="600" w:lineRule="exact"/>
        <w:ind w:firstLine="800" w:firstLineChars="250"/>
        <w:rPr>
          <w:rFonts w:hint="eastAsia" w:ascii="仿宋_GB2312" w:eastAsia="仿宋_GB2312"/>
          <w:sz w:val="32"/>
          <w:szCs w:val="32"/>
        </w:rPr>
      </w:pPr>
      <w:r>
        <w:rPr>
          <w:rFonts w:hint="eastAsia" w:ascii="仿宋_GB2312" w:eastAsia="仿宋_GB2312"/>
          <w:sz w:val="32"/>
          <w:szCs w:val="32"/>
        </w:rPr>
        <w:t>16、履行除煤炭以外其他能源的行业管理职责；负责拟订行业发展规划政策并组织实施；负责从发展规划、产业政策、项目核准等方面加强行业安全生产监管工作；负责行业预测预警、信息发布和应急保障工作；负责协调电力设施和电能保护工作；负责全市能源市场秩序监管工作；负责油气管网设施安全运行和公平开放的监管工作。</w:t>
      </w:r>
    </w:p>
    <w:p>
      <w:pPr>
        <w:pStyle w:val="3"/>
        <w:widowControl w:val="0"/>
        <w:spacing w:before="0" w:beforeAutospacing="0" w:after="0" w:afterAutospacing="0" w:line="600" w:lineRule="exact"/>
        <w:ind w:firstLine="800" w:firstLineChars="250"/>
        <w:rPr>
          <w:rFonts w:hint="eastAsia" w:ascii="仿宋_GB2312" w:eastAsia="仿宋_GB2312"/>
          <w:sz w:val="32"/>
          <w:szCs w:val="32"/>
        </w:rPr>
      </w:pPr>
      <w:r>
        <w:rPr>
          <w:rFonts w:hint="eastAsia" w:ascii="仿宋_GB2312" w:eastAsia="仿宋_GB2312"/>
          <w:sz w:val="32"/>
          <w:szCs w:val="32"/>
        </w:rPr>
        <w:t>17、完成市委、市政府交办的其他任务。</w:t>
      </w:r>
    </w:p>
    <w:p>
      <w:pPr>
        <w:pStyle w:val="3"/>
        <w:widowControl w:val="0"/>
        <w:spacing w:before="0" w:beforeAutospacing="0" w:after="0" w:afterAutospacing="0" w:line="600" w:lineRule="exact"/>
        <w:ind w:firstLine="800" w:firstLineChars="250"/>
        <w:rPr>
          <w:rFonts w:hint="eastAsia" w:ascii="仿宋_GB2312" w:eastAsia="仿宋_GB2312"/>
          <w:sz w:val="32"/>
          <w:szCs w:val="32"/>
        </w:rPr>
      </w:pPr>
      <w:r>
        <w:rPr>
          <w:rFonts w:hint="eastAsia" w:ascii="仿宋_GB2312" w:eastAsia="仿宋_GB2312"/>
          <w:sz w:val="32"/>
          <w:szCs w:val="32"/>
        </w:rPr>
        <w:t>（二）机构设置</w:t>
      </w:r>
    </w:p>
    <w:p>
      <w:pPr>
        <w:pStyle w:val="3"/>
        <w:widowControl w:val="0"/>
        <w:spacing w:before="0" w:beforeAutospacing="0" w:after="0" w:afterAutospacing="0" w:line="600" w:lineRule="exact"/>
        <w:ind w:firstLine="800" w:firstLineChars="250"/>
        <w:rPr>
          <w:rFonts w:hint="eastAsia" w:ascii="仿宋_GB2312" w:eastAsia="仿宋_GB2312"/>
          <w:sz w:val="32"/>
          <w:szCs w:val="32"/>
          <w:highlight w:val="none"/>
        </w:rPr>
      </w:pPr>
      <w:r>
        <w:rPr>
          <w:rFonts w:hint="eastAsia" w:ascii="仿宋_GB2312" w:eastAsia="仿宋_GB2312"/>
          <w:sz w:val="32"/>
          <w:szCs w:val="32"/>
        </w:rPr>
        <w:t>本部门现内设党政办公室、发展规划科、固定资产投资科、财贸和外资科、区域经济科、农村经济科、基础能源科、资源节约和环境保护科、社会发展科、秦岭保护科、营商环境服务科、军民融合发展科、价格科、粮食和物资储备科、粮食和物资监管科、机关党委16个科室。</w:t>
      </w:r>
      <w:r>
        <w:rPr>
          <w:rFonts w:hint="eastAsia" w:ascii="仿宋_GB2312" w:eastAsia="仿宋_GB2312"/>
          <w:sz w:val="32"/>
          <w:szCs w:val="32"/>
          <w:highlight w:val="none"/>
        </w:rPr>
        <w:t>另有市项目管理办公室、</w:t>
      </w:r>
      <w:r>
        <w:rPr>
          <w:rFonts w:hint="eastAsia" w:ascii="仿宋_GB2312" w:hAnsi="仿宋_GB2312" w:eastAsia="仿宋_GB2312" w:cs="仿宋_GB2312"/>
          <w:sz w:val="32"/>
          <w:szCs w:val="32"/>
          <w:highlight w:val="none"/>
        </w:rPr>
        <w:t>市尾矿资源综合利用中心、</w:t>
      </w:r>
      <w:r>
        <w:rPr>
          <w:rFonts w:hint="eastAsia" w:ascii="仿宋_GB2312" w:eastAsia="仿宋_GB2312"/>
          <w:sz w:val="32"/>
          <w:szCs w:val="32"/>
          <w:highlight w:val="none"/>
        </w:rPr>
        <w:t>市节能监察中心、市一体两翼城市建设项目协调推进工作领导小组办公室、</w:t>
      </w:r>
      <w:r>
        <w:rPr>
          <w:rFonts w:hint="eastAsia" w:ascii="仿宋_GB2312" w:eastAsia="仿宋_GB2312"/>
          <w:sz w:val="32"/>
          <w:szCs w:val="32"/>
          <w:highlight w:val="none"/>
          <w:lang w:eastAsia="zh-CN"/>
        </w:rPr>
        <w:t>商洛市服务业发展中心、</w:t>
      </w:r>
      <w:r>
        <w:rPr>
          <w:rFonts w:hint="eastAsia" w:ascii="仿宋_GB2312" w:eastAsia="仿宋_GB2312"/>
          <w:sz w:val="32"/>
          <w:szCs w:val="32"/>
          <w:highlight w:val="none"/>
        </w:rPr>
        <w:t>市粮油质量检验所、市价格认证中心、市救灾物资储备管理中心</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个下属单位。</w:t>
      </w:r>
    </w:p>
    <w:p>
      <w:pPr>
        <w:pStyle w:val="3"/>
        <w:widowControl w:val="0"/>
        <w:spacing w:before="0" w:beforeAutospacing="0" w:after="0" w:afterAutospacing="0" w:line="600" w:lineRule="exact"/>
        <w:ind w:firstLine="800" w:firstLineChars="250"/>
        <w:rPr>
          <w:rFonts w:hint="default" w:ascii="仿宋_GB2312" w:eastAsia="仿宋_GB2312"/>
          <w:sz w:val="32"/>
          <w:szCs w:val="32"/>
          <w:highlight w:val="none"/>
          <w:lang w:val="en-US" w:eastAsia="zh-CN"/>
        </w:rPr>
      </w:pP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二、</w:t>
      </w:r>
      <w:r>
        <w:rPr>
          <w:rFonts w:hint="eastAsia" w:ascii="仿宋_GB2312" w:hAnsi="仿宋_GB2312" w:eastAsia="仿宋_GB2312" w:cs="仿宋_GB2312"/>
          <w:b/>
          <w:bCs/>
          <w:sz w:val="32"/>
          <w:szCs w:val="32"/>
          <w:highlight w:val="none"/>
          <w:lang w:eastAsia="zh-CN"/>
        </w:rPr>
        <w:t>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年度部门工作任务</w:t>
      </w:r>
    </w:p>
    <w:p>
      <w:pPr>
        <w:spacing w:line="60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2021年是实现第一个百年奋斗目标的收官之年,也是“十四五”规划开局之年</w:t>
      </w:r>
      <w:r>
        <w:rPr>
          <w:rFonts w:hint="eastAsia" w:ascii="仿宋_GB2312" w:hAnsi="仿宋_GB2312" w:eastAsia="仿宋_GB2312" w:cs="仿宋_GB2312"/>
          <w:sz w:val="32"/>
          <w:szCs w:val="32"/>
        </w:rPr>
        <w:t>，市发改委将认真落实中央经济工作会议精神，按照市委、市政府的安排部署，巩固拓展疫情防控和经济社会发展成果，更好统筹发展和安全，扎实做好“六稳”工作、全面落实“六保”任务，科学精准实施宏观政策，努力保持经济运行在合理区间，确保“十四五”开好局、起好步。</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（一）全力抓好市级重点项目建设</w:t>
      </w:r>
      <w:r>
        <w:rPr>
          <w:rFonts w:hint="eastAsia" w:ascii="仿宋_GB2312" w:eastAsia="仿宋_GB2312"/>
          <w:sz w:val="32"/>
          <w:szCs w:val="32"/>
        </w:rPr>
        <w:t>。继续实行统计监测、排名通报、观摩评比、督查约谈等机制，持续抓好市级重点项目建设，力促西十、西康高铁、南坡乡村振兴示范区、商南五氧化二钒生产线等一批项目开工建设，推动华新洛南新型材料产业园、商南硅科技产业园、秦岭云计算大数据中心等项目加快建设，推进榆商高速华阴至洛南段、商南至郧西高速公路、丹凤石墨产业园等项目前期工作。按照国务院明确的专项债券投向领域和各项要求，全力做好2021年项目申报准备，做深做实项目前期工作，全力以赴报送更多符合条件的项目，争取国家和全省最大程度支持。</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（二）持续抓好秦岭生态环境保护</w:t>
      </w:r>
      <w:r>
        <w:rPr>
          <w:rFonts w:hint="eastAsia" w:ascii="仿宋_GB2312" w:hAnsi="仿宋_GB2312" w:eastAsia="仿宋_GB2312" w:cs="仿宋_GB2312"/>
          <w:sz w:val="32"/>
          <w:szCs w:val="32"/>
        </w:rPr>
        <w:t>。力促中央和省上环保督察、省委专项巡视、专项审计、信访举报等反馈各类涉秦岭生态环境保护问题整改按时序进度实现“清零”。力争2021年11月底前基本完成秦岭区域小水电专项整治工作，2021年底前基本完成勘界立标工作。谋划筹备好“4·20秦岭生态卫士行动日”活动，举办好“守护绿水青山 当好秦岭生态卫士”主题系列活动。积极创建绿色机关、绿色校园、绿色企业、绿色园区、绿色家庭，营造全民爱护秦岭的良好氛围。争取省委、省政府参照浙江省有关做法，出台支持商洛开展生态产品价值实现机制试点的相关政策，争取将我市尽早列入国家生态产品价值实现机制试点范围。</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（三）持续巩固提升优化营商环境</w:t>
      </w:r>
      <w:r>
        <w:rPr>
          <w:rFonts w:hint="eastAsia" w:ascii="仿宋_GB2312" w:hAnsi="仿宋_GB2312" w:eastAsia="仿宋_GB2312" w:cs="仿宋_GB2312"/>
          <w:sz w:val="32"/>
          <w:szCs w:val="32"/>
        </w:rPr>
        <w:t>。统筹落实三年行动计划、五大专项行动、工作要点和《条例》实施方案等重点工作任务，扎实做好优化营商环境改革举措复制推广借鉴工作，持续推进“互联网+政务服务”，真正做到“让数据多跑路、让群众少跑腿”。全面对标营商环境专项整治工作措施和营商环境监测评价指标体系，深入开展营商环境问题排查梳理。定期召开义务监督员座谈会，畅通企业和社会反馈问题渠道。加快商洛市营商环境大数据监测分析处理平台建设，实现全市营商环境评价指标状况实时监测、营商环境方面突出问题全面捕捉、实时督办。积极营造营商环境舆论宣传浓厚氛围，持续优化提升营商环境。</w:t>
      </w:r>
    </w:p>
    <w:p>
      <w:pPr>
        <w:spacing w:line="600" w:lineRule="exact"/>
        <w:ind w:firstLine="643" w:firstLineChars="200"/>
        <w:rPr>
          <w:rFonts w:ascii="仿宋_GB2312" w:hAnsi="仿宋_GB2312" w:eastAsia="仿宋_GB2312" w:cs="仿宋_GB2312"/>
          <w:sz w:val="32"/>
          <w:szCs w:val="32"/>
        </w:rPr>
      </w:pPr>
      <w:r>
        <w:rPr>
          <w:rFonts w:hint="eastAsia" w:ascii="楷体_GB2312" w:hAnsi="楷体_GB2312" w:eastAsia="楷体_GB2312" w:cs="楷体_GB2312"/>
          <w:b/>
          <w:bCs/>
          <w:sz w:val="32"/>
          <w:szCs w:val="32"/>
        </w:rPr>
        <w:t>（四）扎实做好宁商扶贫协作工作</w:t>
      </w:r>
      <w:r>
        <w:rPr>
          <w:rFonts w:hint="eastAsia" w:ascii="仿宋_GB2312" w:hAnsi="仿宋_GB2312" w:eastAsia="仿宋_GB2312" w:cs="仿宋_GB2312"/>
          <w:sz w:val="32"/>
          <w:szCs w:val="32"/>
        </w:rPr>
        <w:t>。开好全市宁商扶贫协作联席会议，夯实年度工作任务，健全工作推进机制，扎实做好协作活动组织、项目资金争取、项目实施监管、电子台账管理等日常工作，持续推动双方在产业合作、人才交流、劳务协作、助医助学、携手奔小康等领域进行深度合作。重点推动农特产品销售、中药材采购等工作。进一步加大专业技术人才交流力度，组织农业、教育、卫生、科技、文化等专技人才到南京开展学习培训，将宁商扶贫协作转化为全方位的经济合作。</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（五）全力加快绿色循环经济发展</w:t>
      </w:r>
      <w:r>
        <w:rPr>
          <w:rFonts w:hint="eastAsia" w:ascii="仿宋_GB2312" w:hAnsi="仿宋_GB2312" w:eastAsia="仿宋_GB2312" w:cs="仿宋_GB2312"/>
          <w:sz w:val="32"/>
          <w:szCs w:val="32"/>
        </w:rPr>
        <w:t>。认真总结第十五次陕南会落实情况，扎实做好在我市召开第十六次陕南绿色循环发展座谈会各项准备工作。征集一批循环经济重大项目在陕南会议期间集中开工，梳理一批制约我市经济社会发展且需要省上协调解决的重大事项，争取获得省上更多支持。抓好2021年陕南循环发展项目实施，做好2021年陕南循环发展项目资金申报，尽快建成一批基础设施、重大产业和一县一产业示范项目，培育壮大绿色循环产业。</w:t>
      </w:r>
      <w:r>
        <w:rPr>
          <w:rFonts w:hint="eastAsia" w:ascii="仿宋_GB2312" w:eastAsia="仿宋_GB2312"/>
          <w:sz w:val="32"/>
          <w:szCs w:val="32"/>
        </w:rPr>
        <w:t>紧盯年度“双控”考核指标，逐月分析节能形势，落实季报、预警、考核等工作举措，确保全市能源消耗控制在合理范围。</w:t>
      </w:r>
    </w:p>
    <w:p>
      <w:pPr>
        <w:spacing w:line="600" w:lineRule="exact"/>
        <w:ind w:firstLine="643" w:firstLineChars="200"/>
        <w:rPr>
          <w:rFonts w:ascii="仿宋_GB2312" w:eastAsia="仿宋_GB2312"/>
          <w:sz w:val="32"/>
          <w:szCs w:val="32"/>
        </w:rPr>
      </w:pPr>
      <w:r>
        <w:rPr>
          <w:rFonts w:hint="eastAsia" w:ascii="楷体_GB2312" w:hAnsi="楷体_GB2312" w:eastAsia="楷体_GB2312" w:cs="楷体_GB2312"/>
          <w:b/>
          <w:bCs/>
          <w:sz w:val="32"/>
          <w:szCs w:val="32"/>
        </w:rPr>
        <w:t>（六）积极推动其他重点工作开展</w:t>
      </w:r>
      <w:r>
        <w:rPr>
          <w:rFonts w:hint="eastAsia" w:ascii="仿宋_GB2312" w:eastAsia="仿宋_GB2312"/>
          <w:sz w:val="32"/>
          <w:szCs w:val="32"/>
        </w:rPr>
        <w:t>。</w:t>
      </w:r>
      <w:r>
        <w:rPr>
          <w:rFonts w:hint="eastAsia" w:ascii="仿宋_GB2312" w:eastAsia="仿宋_GB2312"/>
          <w:b/>
          <w:bCs/>
          <w:sz w:val="32"/>
          <w:szCs w:val="32"/>
        </w:rPr>
        <w:t>一是</w:t>
      </w:r>
      <w:r>
        <w:rPr>
          <w:rFonts w:hint="eastAsia" w:ascii="仿宋_GB2312" w:eastAsia="仿宋_GB2312"/>
          <w:sz w:val="32"/>
          <w:szCs w:val="32"/>
        </w:rPr>
        <w:t>对照国家和全省的“十四五”规划《建议》及规划《纲要》，继续修改完善全市“十四五”规划《纲要》初稿，确保按照时间节点要求完成规划编制工作。</w:t>
      </w:r>
      <w:r>
        <w:rPr>
          <w:rFonts w:hint="eastAsia" w:ascii="仿宋_GB2312" w:eastAsia="仿宋_GB2312"/>
          <w:b/>
          <w:bCs/>
          <w:sz w:val="32"/>
          <w:szCs w:val="32"/>
        </w:rPr>
        <w:t>二是</w:t>
      </w:r>
      <w:r>
        <w:rPr>
          <w:rFonts w:hint="eastAsia" w:ascii="仿宋_GB2312" w:eastAsia="仿宋_GB2312"/>
          <w:sz w:val="32"/>
          <w:szCs w:val="32"/>
        </w:rPr>
        <w:t>按照“一个事项，一名市级领导挂帅、一个专班协调推进”的原则，全力推动市委、市政府</w:t>
      </w:r>
      <w:r>
        <w:rPr>
          <w:rFonts w:hint="eastAsia" w:ascii="仿宋_GB2312" w:hAnsi="仿宋_GB2312" w:eastAsia="仿宋_GB2312" w:cs="仿宋_GB2312"/>
          <w:sz w:val="32"/>
          <w:szCs w:val="32"/>
        </w:rPr>
        <w:t>《关于推动商洛高质量发展的实施意见》落实。</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重点抓好山阳、柞水两个省级县域经济发展和城镇建设试点，加快县域经济产业园区建设，提升县城承载能力提升，筑牢主导产业发展基础，发展壮大县域经济规模。</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抢抓国家实施“一带一路”、新时代推进西部大开发形成新格局、黄河流域生态保护和高质量发展等重大战略，积极推动区域内汽车、装备制造、新材料、新能源、电子信息、生物医药、食品加工等产业向商洛转移，培育壮大特色农业、大健康、大旅游、新材料“四大产业增长极”，形成优势互补、协调协同的区域发展格局。</w:t>
      </w:r>
    </w:p>
    <w:p>
      <w:pPr>
        <w:ind w:firstLine="640"/>
        <w:rPr>
          <w:rFonts w:hint="eastAsia" w:ascii="仿宋_GB2312" w:hAnsi="仿宋_GB2312" w:eastAsia="仿宋_GB2312" w:cs="仿宋_GB2312"/>
          <w:b/>
          <w:bCs/>
          <w:sz w:val="32"/>
          <w:szCs w:val="32"/>
          <w:highlight w:val="none"/>
        </w:rPr>
      </w:pP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三、部门预算单位构成</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从预算单位构成看，本部门的部门预算</w:t>
      </w:r>
      <w:r>
        <w:rPr>
          <w:rFonts w:hint="eastAsia" w:ascii="仿宋_GB2312" w:hAnsi="仿宋_GB2312" w:eastAsia="仿宋_GB2312" w:cs="仿宋_GB2312"/>
          <w:sz w:val="32"/>
          <w:szCs w:val="32"/>
          <w:highlight w:val="none"/>
          <w:lang w:val="en-US" w:eastAsia="zh-CN"/>
        </w:rPr>
        <w:t>包括部门本级（机关）预算和所属事业单位预算。</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纳入本部门</w:t>
      </w:r>
      <w:r>
        <w:rPr>
          <w:rFonts w:hint="eastAsia" w:ascii="仿宋_GB2312" w:hAnsi="仿宋_GB2312" w:eastAsia="仿宋_GB2312" w:cs="仿宋_GB2312"/>
          <w:sz w:val="32"/>
          <w:szCs w:val="32"/>
          <w:highlight w:val="none"/>
          <w:lang w:val="en-US" w:eastAsia="zh-CN"/>
        </w:rPr>
        <w:t>2021年部门预算编制范围的二级预算单位</w:t>
      </w:r>
      <w:r>
        <w:rPr>
          <w:rFonts w:hint="eastAsia" w:ascii="仿宋_GB2312" w:hAnsi="仿宋_GB2312" w:eastAsia="仿宋_GB2312" w:cs="仿宋_GB2312"/>
          <w:sz w:val="32"/>
          <w:szCs w:val="32"/>
          <w:highlight w:val="none"/>
          <w:lang w:eastAsia="zh-CN"/>
        </w:rPr>
        <w:t>共有</w:t>
      </w:r>
      <w:r>
        <w:rPr>
          <w:rFonts w:hint="eastAsia" w:ascii="仿宋_GB2312" w:hAnsi="仿宋_GB2312" w:eastAsia="仿宋_GB2312" w:cs="仿宋_GB2312"/>
          <w:sz w:val="32"/>
          <w:szCs w:val="32"/>
          <w:highlight w:val="none"/>
          <w:lang w:val="en-US" w:eastAsia="zh-CN"/>
        </w:rPr>
        <w:t>9个，包括：</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1"/>
        <w:gridCol w:w="5730"/>
        <w:gridCol w:w="17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eastAsia"/>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序号</w:t>
            </w:r>
          </w:p>
        </w:tc>
        <w:tc>
          <w:tcPr>
            <w:tcW w:w="5730" w:type="dxa"/>
            <w:vAlign w:val="top"/>
          </w:tcPr>
          <w:p>
            <w:pPr>
              <w:pStyle w:val="2"/>
              <w:jc w:val="center"/>
              <w:rPr>
                <w:rFonts w:hint="eastAsia"/>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单位名称</w:t>
            </w:r>
          </w:p>
        </w:tc>
        <w:tc>
          <w:tcPr>
            <w:tcW w:w="1771" w:type="dxa"/>
            <w:vAlign w:val="top"/>
          </w:tcPr>
          <w:p>
            <w:pPr>
              <w:pStyle w:val="2"/>
              <w:jc w:val="center"/>
              <w:rPr>
                <w:rFonts w:hint="eastAsia"/>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拟变动情况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1</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商洛市发展和改革委员会（本级）</w:t>
            </w:r>
          </w:p>
        </w:tc>
        <w:tc>
          <w:tcPr>
            <w:tcW w:w="1771"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2</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商洛市项目管理办公室</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3</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商洛市服务业发展中心</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4</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商洛市尾矿资源综合利用中心</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5</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商洛市节能监察中心</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6</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4"/>
                <w:szCs w:val="24"/>
                <w:highlight w:val="none"/>
                <w:vertAlign w:val="baseline"/>
                <w:lang w:val="en-US" w:eastAsia="zh-CN" w:bidi="ar-SA"/>
              </w:rPr>
              <w:t>商洛市一体两翼城市建设项目协调推进工作领导小组办公室</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7</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商洛市救灾物资储备中心</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8</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商洛市价格认证中心</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1021" w:type="dxa"/>
            <w:vAlign w:val="top"/>
          </w:tcPr>
          <w:p>
            <w:pPr>
              <w:pStyle w:val="2"/>
              <w:jc w:val="center"/>
              <w:rPr>
                <w:rFonts w:hint="default"/>
                <w:vertAlign w:val="baseline"/>
                <w:lang w:val="en-US" w:eastAsia="zh-CN"/>
              </w:rPr>
            </w:pPr>
            <w:r>
              <w:rPr>
                <w:rFonts w:hint="eastAsia" w:ascii="仿宋_GB2312" w:hAnsi="仿宋_GB2312" w:eastAsia="仿宋_GB2312" w:cs="仿宋_GB2312"/>
                <w:kern w:val="2"/>
                <w:sz w:val="32"/>
                <w:szCs w:val="32"/>
                <w:highlight w:val="none"/>
                <w:vertAlign w:val="baseline"/>
                <w:lang w:val="en-US" w:eastAsia="zh-CN" w:bidi="ar-SA"/>
              </w:rPr>
              <w:t>9</w:t>
            </w:r>
          </w:p>
        </w:tc>
        <w:tc>
          <w:tcPr>
            <w:tcW w:w="5730" w:type="dxa"/>
            <w:vAlign w:val="center"/>
          </w:tcPr>
          <w:p>
            <w:pPr>
              <w:pStyle w:val="2"/>
              <w:jc w:val="center"/>
              <w:rPr>
                <w:rFonts w:hint="eastAsia"/>
                <w:sz w:val="28"/>
                <w:szCs w:val="28"/>
                <w:vertAlign w:val="baseline"/>
                <w:lang w:val="en-US" w:eastAsia="zh-CN"/>
              </w:rPr>
            </w:pPr>
            <w:r>
              <w:rPr>
                <w:rFonts w:hint="eastAsia" w:ascii="仿宋_GB2312" w:hAnsi="仿宋_GB2312" w:eastAsia="仿宋_GB2312" w:cs="仿宋_GB2312"/>
                <w:kern w:val="2"/>
                <w:sz w:val="28"/>
                <w:szCs w:val="28"/>
                <w:highlight w:val="none"/>
                <w:vertAlign w:val="baseline"/>
                <w:lang w:val="en-US" w:eastAsia="zh-CN" w:bidi="ar-SA"/>
              </w:rPr>
              <w:t>商洛市粮油质量检验所</w:t>
            </w:r>
          </w:p>
        </w:tc>
        <w:tc>
          <w:tcPr>
            <w:tcW w:w="1771" w:type="dxa"/>
            <w:vAlign w:val="center"/>
          </w:tcPr>
          <w:p>
            <w:pPr>
              <w:pStyle w:val="2"/>
              <w:jc w:val="center"/>
              <w:rPr>
                <w:rFonts w:hint="eastAsia" w:ascii="Calibri" w:hAnsi="Calibri" w:eastAsia="宋体" w:cs="黑体"/>
                <w:kern w:val="2"/>
                <w:sz w:val="28"/>
                <w:szCs w:val="28"/>
                <w:vertAlign w:val="baseline"/>
                <w:lang w:val="en-US" w:eastAsia="zh-CN" w:bidi="ar-SA"/>
              </w:rPr>
            </w:pPr>
            <w:r>
              <w:rPr>
                <w:rFonts w:hint="eastAsia" w:ascii="仿宋_GB2312" w:hAnsi="仿宋_GB2312" w:eastAsia="仿宋_GB2312" w:cs="仿宋_GB2312"/>
                <w:kern w:val="2"/>
                <w:sz w:val="28"/>
                <w:szCs w:val="28"/>
                <w:highlight w:val="none"/>
                <w:vertAlign w:val="baseline"/>
                <w:lang w:val="en-US" w:eastAsia="zh-CN" w:bidi="ar-SA"/>
              </w:rPr>
              <w:t>无变动</w:t>
            </w:r>
          </w:p>
        </w:tc>
      </w:tr>
    </w:tbl>
    <w:p>
      <w:pPr>
        <w:pStyle w:val="2"/>
        <w:rPr>
          <w:rFonts w:hint="eastAsia"/>
          <w:lang w:val="en-US" w:eastAsia="zh-CN"/>
        </w:rPr>
      </w:pPr>
    </w:p>
    <w:p>
      <w:pPr>
        <w:pStyle w:val="2"/>
        <w:rPr>
          <w:rFonts w:hint="eastAsia"/>
          <w:lang w:val="en-US" w:eastAsia="zh-CN"/>
        </w:rPr>
      </w:pP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四、部门人员情况说明</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文字说明，并列图表</w:t>
      </w:r>
      <w:r>
        <w:rPr>
          <w:rFonts w:hint="eastAsia" w:ascii="仿宋_GB2312" w:hAnsi="仿宋_GB2312" w:eastAsia="仿宋_GB2312" w:cs="仿宋_GB2312"/>
          <w:sz w:val="32"/>
          <w:szCs w:val="32"/>
          <w:highlight w:val="none"/>
          <w:lang w:val="en-US" w:eastAsia="zh-CN"/>
        </w:rPr>
        <w:t>（人员情况柱状图或饼状图）</w:t>
      </w:r>
      <w:r>
        <w:rPr>
          <w:rFonts w:hint="eastAsia" w:ascii="仿宋_GB2312" w:hAnsi="仿宋_GB2312" w:eastAsia="仿宋_GB2312" w:cs="仿宋_GB2312"/>
          <w:sz w:val="32"/>
          <w:szCs w:val="32"/>
          <w:highlight w:val="none"/>
          <w:lang w:eastAsia="zh-CN"/>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2021年底，</w:t>
      </w:r>
      <w:r>
        <w:rPr>
          <w:rFonts w:hint="eastAsia" w:ascii="仿宋_GB2312" w:hAnsi="仿宋_GB2312" w:eastAsia="仿宋_GB2312" w:cs="仿宋_GB2312"/>
          <w:sz w:val="32"/>
          <w:szCs w:val="32"/>
          <w:highlight w:val="none"/>
          <w:lang w:eastAsia="zh-CN"/>
        </w:rPr>
        <w:t>本部门人员编制</w:t>
      </w:r>
      <w:r>
        <w:rPr>
          <w:rFonts w:hint="eastAsia" w:ascii="仿宋_GB2312" w:hAnsi="仿宋_GB2312" w:eastAsia="仿宋_GB2312" w:cs="仿宋_GB2312"/>
          <w:sz w:val="32"/>
          <w:szCs w:val="32"/>
          <w:highlight w:val="none"/>
          <w:lang w:val="en-US" w:eastAsia="zh-CN"/>
        </w:rPr>
        <w:t>127人，其中行政编制45人、事业编制82人；实有人员110人，其中行政42人、事业68人。单位管理的离退休人员51人。</w:t>
      </w:r>
    </w:p>
    <w:p>
      <w:pPr>
        <w:ind w:firstLine="640"/>
        <w:rPr>
          <w:rFonts w:hint="eastAsia" w:ascii="仿宋_GB2312" w:hAnsi="仿宋_GB2312" w:eastAsia="仿宋_GB2312" w:cs="仿宋_GB2312"/>
          <w:sz w:val="32"/>
          <w:szCs w:val="32"/>
          <w:highlight w:val="none"/>
          <w:lang w:val="en-US"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r>
        <w:rPr>
          <w:rFonts w:hint="eastAsia" w:ascii="仿宋_GB2312" w:eastAsia="仿宋_GB2312"/>
        </w:rPr>
        <w:pict>
          <v:shape id="_x0000_s1026" o:spid="_x0000_s1026" o:spt="75" type="#_x0000_t75" style="position:absolute;left:0pt;margin-left:12.95pt;margin-top:19.8pt;height:288.7pt;width:378.1pt;z-index:-251658240;mso-width-relative:page;mso-height-relative:page;" o:ole="t" filled="f" o:preferrelative="t" stroked="f" coordsize="21600,21600">
            <v:path/>
            <v:fill on="f" focussize="0,0"/>
            <v:stroke on="f"/>
            <v:imagedata r:id="rId5" o:title=""/>
            <o:lock v:ext="edit" aspectratio="f"/>
          </v:shape>
          <o:OLEObject Type="Embed" ProgID="Excel.Chart.8" ShapeID="_x0000_s1026" DrawAspect="Content" ObjectID="_1468075725" r:id="rId4">
            <o:LockedField>false</o:LockedField>
          </o:OLEObject>
        </w:pict>
      </w: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eastAsia="zh-CN"/>
        </w:rPr>
      </w:pPr>
    </w:p>
    <w:p>
      <w:pPr>
        <w:ind w:firstLine="640"/>
        <w:jc w:val="center"/>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eastAsia="zh-CN"/>
        </w:rPr>
        <w:t>第二部分</w:t>
      </w:r>
      <w:r>
        <w:rPr>
          <w:rFonts w:hint="eastAsia" w:ascii="仿宋_GB2312" w:hAnsi="仿宋_GB2312" w:eastAsia="仿宋_GB2312" w:cs="仿宋_GB2312"/>
          <w:b/>
          <w:bCs/>
          <w:sz w:val="32"/>
          <w:szCs w:val="32"/>
          <w:highlight w:val="none"/>
          <w:lang w:val="en-US" w:eastAsia="zh-CN"/>
        </w:rPr>
        <w:t xml:space="preserve">  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五</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202</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年部门预算收支说明</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（一）</w:t>
      </w:r>
      <w:r>
        <w:rPr>
          <w:rFonts w:hint="eastAsia" w:ascii="仿宋_GB2312" w:hAnsi="仿宋_GB2312" w:eastAsia="仿宋_GB2312" w:cs="仿宋_GB2312"/>
          <w:sz w:val="32"/>
          <w:szCs w:val="32"/>
          <w:highlight w:val="none"/>
        </w:rPr>
        <w:t>收支预算总体情况。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按照综合预算的原则，本部门所有收入和支出均纳入部门预算管理。</w:t>
      </w:r>
      <w:r>
        <w:rPr>
          <w:rFonts w:hint="eastAsia" w:ascii="仿宋_GB2312" w:hAnsi="仿宋_GB2312" w:eastAsia="仿宋_GB2312" w:cs="仿宋_GB2312"/>
          <w:sz w:val="32"/>
          <w:szCs w:val="32"/>
          <w:highlight w:val="none"/>
          <w:lang w:val="en-US" w:eastAsia="zh-CN"/>
        </w:rPr>
        <w:t>2021年本部门预算收入1350.95万元，其中一般公共预算拨款收入1350.95万元、政府性基金拨款收入0万元，2021年本部门预算收入较上年增加80.43万元，主要原因是机构人员增加，相应的人员经费及商品和服务支出也随之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2021年本部门预算支出1350.95万元，其中一般公共预算拨款支出1350.95万元、政府性基金拨款支出0万元，2021年本部门预算支出较上年增加80.43万元，主要原因是机构人员增加，相应的人员经费及商品和服务支出也随之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（二）财政拨款收支情况。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lang w:eastAsia="zh-CN"/>
        </w:rPr>
        <w:t>年本部门财政拨款收入</w:t>
      </w:r>
      <w:r>
        <w:rPr>
          <w:rFonts w:hint="eastAsia" w:ascii="仿宋_GB2312" w:hAnsi="仿宋_GB2312" w:eastAsia="仿宋_GB2312" w:cs="仿宋_GB2312"/>
          <w:sz w:val="32"/>
          <w:szCs w:val="32"/>
          <w:highlight w:val="none"/>
          <w:lang w:val="en-US" w:eastAsia="zh-CN"/>
        </w:rPr>
        <w:t>1350.95</w:t>
      </w:r>
      <w:r>
        <w:rPr>
          <w:rFonts w:hint="eastAsia" w:ascii="仿宋_GB2312" w:hAnsi="仿宋_GB2312" w:eastAsia="仿宋_GB2312" w:cs="仿宋_GB2312"/>
          <w:sz w:val="32"/>
          <w:szCs w:val="32"/>
          <w:highlight w:val="none"/>
          <w:lang w:eastAsia="zh-CN"/>
        </w:rPr>
        <w:t>万元，其中一般公共预算拨款收入</w:t>
      </w:r>
      <w:r>
        <w:rPr>
          <w:rFonts w:hint="eastAsia" w:ascii="仿宋_GB2312" w:hAnsi="仿宋_GB2312" w:eastAsia="仿宋_GB2312" w:cs="仿宋_GB2312"/>
          <w:sz w:val="32"/>
          <w:szCs w:val="32"/>
          <w:highlight w:val="none"/>
          <w:lang w:val="en-US" w:eastAsia="zh-CN"/>
        </w:rPr>
        <w:t>1350.95</w:t>
      </w:r>
      <w:r>
        <w:rPr>
          <w:rFonts w:hint="eastAsia" w:ascii="仿宋_GB2312" w:hAnsi="仿宋_GB2312" w:eastAsia="仿宋_GB2312" w:cs="仿宋_GB2312"/>
          <w:sz w:val="32"/>
          <w:szCs w:val="32"/>
          <w:highlight w:val="none"/>
          <w:lang w:eastAsia="zh-CN"/>
        </w:rPr>
        <w:t>万元、政府性基金拨款收入</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年本部门财政拨款收入较上年增加</w:t>
      </w:r>
      <w:r>
        <w:rPr>
          <w:rFonts w:hint="eastAsia" w:ascii="仿宋_GB2312" w:hAnsi="仿宋_GB2312" w:eastAsia="仿宋_GB2312" w:cs="仿宋_GB2312"/>
          <w:sz w:val="32"/>
          <w:szCs w:val="32"/>
          <w:highlight w:val="none"/>
          <w:lang w:val="en-US" w:eastAsia="zh-CN"/>
        </w:rPr>
        <w:t>80.43</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机构人员增加，相应的人员经费及商品和服务支出也随之增加。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年本部门财政拨款支出</w:t>
      </w:r>
      <w:r>
        <w:rPr>
          <w:rFonts w:hint="eastAsia" w:ascii="仿宋_GB2312" w:hAnsi="仿宋_GB2312" w:eastAsia="仿宋_GB2312" w:cs="仿宋_GB2312"/>
          <w:sz w:val="32"/>
          <w:szCs w:val="32"/>
          <w:highlight w:val="none"/>
          <w:lang w:val="en-US" w:eastAsia="zh-CN"/>
        </w:rPr>
        <w:t>1350.95</w:t>
      </w:r>
      <w:r>
        <w:rPr>
          <w:rFonts w:hint="eastAsia" w:ascii="仿宋_GB2312" w:hAnsi="仿宋_GB2312" w:eastAsia="仿宋_GB2312" w:cs="仿宋_GB2312"/>
          <w:sz w:val="32"/>
          <w:szCs w:val="32"/>
          <w:highlight w:val="none"/>
          <w:lang w:eastAsia="zh-CN"/>
        </w:rPr>
        <w:t>万元，其中一般公共预算拨款支出</w:t>
      </w:r>
      <w:r>
        <w:rPr>
          <w:rFonts w:hint="eastAsia" w:ascii="仿宋_GB2312" w:hAnsi="仿宋_GB2312" w:eastAsia="仿宋_GB2312" w:cs="仿宋_GB2312"/>
          <w:sz w:val="32"/>
          <w:szCs w:val="32"/>
          <w:highlight w:val="none"/>
          <w:lang w:val="en-US" w:eastAsia="zh-CN"/>
        </w:rPr>
        <w:t>1350.95</w:t>
      </w:r>
      <w:r>
        <w:rPr>
          <w:rFonts w:hint="eastAsia" w:ascii="仿宋_GB2312" w:hAnsi="仿宋_GB2312" w:eastAsia="仿宋_GB2312" w:cs="仿宋_GB2312"/>
          <w:sz w:val="32"/>
          <w:szCs w:val="32"/>
          <w:highlight w:val="none"/>
          <w:lang w:eastAsia="zh-CN"/>
        </w:rPr>
        <w:t>万元、政府性基金拨款支出</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lang w:eastAsia="zh-CN"/>
        </w:rPr>
        <w:t>万元，202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年本部门财政拨款支出较上年增加</w:t>
      </w:r>
      <w:r>
        <w:rPr>
          <w:rFonts w:hint="eastAsia" w:ascii="仿宋_GB2312" w:hAnsi="仿宋_GB2312" w:eastAsia="仿宋_GB2312" w:cs="仿宋_GB2312"/>
          <w:sz w:val="32"/>
          <w:szCs w:val="32"/>
          <w:highlight w:val="none"/>
          <w:lang w:val="en-US" w:eastAsia="zh-CN"/>
        </w:rPr>
        <w:t>80.43</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机构人员增加，相应的人员经费及商品和服务支出也随之增加。</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（三）一般</w:t>
      </w:r>
      <w:r>
        <w:rPr>
          <w:rFonts w:hint="eastAsia" w:ascii="仿宋_GB2312" w:hAnsi="仿宋_GB2312" w:eastAsia="仿宋_GB2312" w:cs="仿宋_GB2312"/>
          <w:sz w:val="32"/>
          <w:szCs w:val="32"/>
          <w:highlight w:val="none"/>
        </w:rPr>
        <w:t>公共预算拨款支出明细情况。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一般</w:t>
      </w:r>
      <w:r>
        <w:rPr>
          <w:rFonts w:hint="eastAsia" w:ascii="仿宋_GB2312" w:hAnsi="仿宋_GB2312" w:eastAsia="仿宋_GB2312" w:cs="仿宋_GB2312"/>
          <w:sz w:val="32"/>
          <w:szCs w:val="32"/>
          <w:highlight w:val="none"/>
        </w:rPr>
        <w:t>公共预算</w:t>
      </w:r>
      <w:r>
        <w:rPr>
          <w:rFonts w:hint="eastAsia" w:ascii="仿宋_GB2312" w:hAnsi="仿宋_GB2312" w:eastAsia="仿宋_GB2312" w:cs="仿宋_GB2312"/>
          <w:sz w:val="32"/>
          <w:szCs w:val="32"/>
          <w:highlight w:val="none"/>
          <w:lang w:eastAsia="zh-CN"/>
        </w:rPr>
        <w:t>当年拨款规模变化情况。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年本部门当年一般公共预算拨款支出</w:t>
      </w:r>
      <w:r>
        <w:rPr>
          <w:rFonts w:hint="eastAsia" w:ascii="仿宋_GB2312" w:hAnsi="仿宋_GB2312" w:eastAsia="仿宋_GB2312" w:cs="仿宋_GB2312"/>
          <w:sz w:val="32"/>
          <w:szCs w:val="32"/>
          <w:highlight w:val="none"/>
          <w:lang w:val="en-US" w:eastAsia="zh-CN"/>
        </w:rPr>
        <w:t>1350.95</w:t>
      </w:r>
      <w:r>
        <w:rPr>
          <w:rFonts w:hint="eastAsia" w:ascii="仿宋_GB2312" w:hAnsi="仿宋_GB2312" w:eastAsia="仿宋_GB2312" w:cs="仿宋_GB2312"/>
          <w:sz w:val="32"/>
          <w:szCs w:val="32"/>
          <w:highlight w:val="none"/>
          <w:lang w:eastAsia="zh-CN"/>
        </w:rPr>
        <w:t>万元，较上年增加</w:t>
      </w:r>
      <w:r>
        <w:rPr>
          <w:rFonts w:hint="eastAsia" w:ascii="仿宋_GB2312" w:hAnsi="仿宋_GB2312" w:eastAsia="仿宋_GB2312" w:cs="仿宋_GB2312"/>
          <w:sz w:val="32"/>
          <w:szCs w:val="32"/>
          <w:highlight w:val="none"/>
          <w:lang w:val="en-US" w:eastAsia="zh-CN"/>
        </w:rPr>
        <w:t>80.43</w:t>
      </w:r>
      <w:r>
        <w:rPr>
          <w:rFonts w:hint="eastAsia" w:ascii="仿宋_GB2312" w:hAnsi="仿宋_GB2312" w:eastAsia="仿宋_GB2312" w:cs="仿宋_GB2312"/>
          <w:sz w:val="32"/>
          <w:szCs w:val="32"/>
          <w:highlight w:val="none"/>
          <w:lang w:eastAsia="zh-CN"/>
        </w:rPr>
        <w:t>万元，主要原因是</w:t>
      </w:r>
      <w:r>
        <w:rPr>
          <w:rFonts w:hint="eastAsia" w:ascii="仿宋_GB2312" w:hAnsi="仿宋_GB2312" w:eastAsia="仿宋_GB2312" w:cs="仿宋_GB2312"/>
          <w:sz w:val="32"/>
          <w:szCs w:val="32"/>
          <w:highlight w:val="none"/>
          <w:lang w:val="en-US" w:eastAsia="zh-CN"/>
        </w:rPr>
        <w:t>机构人员增加，相应的人员经费及商品和服务支出也随之增加。</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2、支出按功能科目分类的明细情况。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当年一般公共预算支出1350.95万元，其中：</w:t>
      </w:r>
    </w:p>
    <w:p>
      <w:pPr>
        <w:pStyle w:val="2"/>
        <w:ind w:firstLine="640" w:firstLineChars="200"/>
        <w:rPr>
          <w:rFonts w:hint="default"/>
          <w:lang w:val="en-US" w:eastAsia="zh-CN"/>
        </w:rPr>
      </w:pP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行政运行（</w:t>
      </w:r>
      <w:r>
        <w:rPr>
          <w:rFonts w:hint="eastAsia" w:ascii="仿宋_GB2312" w:hAnsi="仿宋_GB2312" w:eastAsia="仿宋_GB2312" w:cs="仿宋_GB2312"/>
          <w:sz w:val="32"/>
          <w:szCs w:val="32"/>
          <w:highlight w:val="none"/>
          <w:lang w:val="en-US" w:eastAsia="zh-CN"/>
        </w:rPr>
        <w:t>2010401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485.84万元，较上年减少132.27万元，因为2020年预算支出按功能细化科目未将医疗保险、住房公积金单独列出，统一体现在行政运行和事业运行当中，而2021年单独体现，所以较上年减少132.27万元。</w:t>
      </w:r>
    </w:p>
    <w:p>
      <w:pPr>
        <w:numPr>
          <w:ilvl w:val="0"/>
          <w:numId w:val="0"/>
        </w:numPr>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事业运行（</w:t>
      </w:r>
      <w:r>
        <w:rPr>
          <w:rFonts w:hint="eastAsia" w:ascii="仿宋_GB2312" w:hAnsi="仿宋_GB2312" w:eastAsia="仿宋_GB2312" w:cs="仿宋_GB2312"/>
          <w:sz w:val="32"/>
          <w:szCs w:val="32"/>
          <w:highlight w:val="none"/>
          <w:lang w:val="en-US" w:eastAsia="zh-CN"/>
        </w:rPr>
        <w:t>2010450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447.11万元，较上年增加9.57万元，原因是人员增加，相应的人员经费及商品和服务支出也随之增加。</w:t>
      </w:r>
    </w:p>
    <w:p>
      <w:pPr>
        <w:pStyle w:val="2"/>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（3）机关事业单位基本养老保险（2080505）128.88万元，较上年增加0.81万元，原因是机构人员增加，相应的社会保障和就业支出也随之增加。</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（4）职业年金（2080506）64.44万元，较上年增加64.44万元，原因是上年职业年金单位部分暂未拨付。</w:t>
      </w:r>
    </w:p>
    <w:p>
      <w:pPr>
        <w:pStyle w:val="2"/>
        <w:ind w:firstLine="640"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（5）医疗保险（210110）72.93万元，较上年增加72.93万元，原因是2020年的支出功能分类未将医疗保险单独列出，统一体现在行政运行和事业运行科目中。</w:t>
      </w:r>
    </w:p>
    <w:p>
      <w:pPr>
        <w:pStyle w:val="2"/>
        <w:rPr>
          <w:rFonts w:hint="default"/>
          <w:lang w:val="en-US" w:eastAsia="zh-CN"/>
        </w:rPr>
      </w:pPr>
      <w:r>
        <w:rPr>
          <w:rFonts w:hint="eastAsia" w:ascii="仿宋_GB2312" w:hAnsi="仿宋_GB2312" w:eastAsia="仿宋_GB2312" w:cs="仿宋_GB2312"/>
          <w:sz w:val="32"/>
          <w:szCs w:val="32"/>
          <w:highlight w:val="none"/>
          <w:lang w:val="en-US" w:eastAsia="zh-CN"/>
        </w:rPr>
        <w:t xml:space="preserve">    （6）住房公积金（2210201）98.31万元，较上年增加98.31万元，原因是2020年的支出功能分类未将住房公积金单独列出，统一体现在行政运行和事业运行科目中。</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eastAsia="zh-CN"/>
        </w:rPr>
        <w:t>）粮油事业运行（</w:t>
      </w:r>
      <w:r>
        <w:rPr>
          <w:rFonts w:hint="eastAsia" w:ascii="仿宋_GB2312" w:hAnsi="仿宋_GB2312" w:eastAsia="仿宋_GB2312" w:cs="仿宋_GB2312"/>
          <w:sz w:val="32"/>
          <w:szCs w:val="32"/>
          <w:highlight w:val="none"/>
          <w:lang w:val="en-US" w:eastAsia="zh-CN"/>
        </w:rPr>
        <w:t>2220150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31.55万元，较上年减少14.34万元，原因是2021年将职业年金、医疗保险、住房公积金单独列出，而2020年未单独列出，统一体现在行政运行和事业运行当中。所以该科目与上年相比减少了14.34万元。</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8</w:t>
      </w:r>
      <w:r>
        <w:rPr>
          <w:rFonts w:hint="eastAsia" w:ascii="仿宋_GB2312" w:hAnsi="仿宋_GB2312" w:eastAsia="仿宋_GB2312" w:cs="仿宋_GB2312"/>
          <w:sz w:val="32"/>
          <w:szCs w:val="32"/>
          <w:highlight w:val="none"/>
          <w:lang w:eastAsia="zh-CN"/>
        </w:rPr>
        <w:t>）物资事业运行（</w:t>
      </w:r>
      <w:r>
        <w:rPr>
          <w:rFonts w:hint="eastAsia" w:ascii="仿宋_GB2312" w:hAnsi="仿宋_GB2312" w:eastAsia="仿宋_GB2312" w:cs="仿宋_GB2312"/>
          <w:sz w:val="32"/>
          <w:szCs w:val="32"/>
          <w:highlight w:val="none"/>
          <w:lang w:val="en-US" w:eastAsia="zh-CN"/>
        </w:rPr>
        <w:t>2220250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21.89万元，较上年减少了17.7万元，原因是2021年将职业年金、医疗保险、住房公积金单独列出，而2020年未单独列出。所以该科目与上年相比减少了17.7万元。</w:t>
      </w:r>
    </w:p>
    <w:p>
      <w:pPr>
        <w:ind w:firstLine="640"/>
        <w:rPr>
          <w:rFonts w:hint="default"/>
          <w:lang w:val="en-US" w:eastAsia="zh-CN"/>
        </w:rPr>
      </w:pPr>
      <w:r>
        <w:rPr>
          <w:rFonts w:hint="eastAsia" w:ascii="仿宋_GB2312" w:hAnsi="仿宋_GB2312" w:eastAsia="仿宋_GB2312" w:cs="仿宋_GB2312"/>
          <w:sz w:val="32"/>
          <w:szCs w:val="32"/>
          <w:highlight w:val="none"/>
          <w:lang w:val="en-US" w:eastAsia="zh-CN"/>
        </w:rPr>
        <w:t>3、支出按经济科目分类的明细情况</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按照部门</w:t>
      </w:r>
      <w:r>
        <w:rPr>
          <w:rFonts w:hint="eastAsia" w:ascii="仿宋_GB2312" w:hAnsi="仿宋_GB2312" w:eastAsia="仿宋_GB2312" w:cs="仿宋_GB2312"/>
          <w:sz w:val="32"/>
          <w:szCs w:val="32"/>
          <w:highlight w:val="none"/>
          <w:lang w:eastAsia="zh-CN"/>
        </w:rPr>
        <w:t>预算</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分类的类级科目</w:t>
      </w:r>
      <w:r>
        <w:rPr>
          <w:rFonts w:hint="eastAsia" w:ascii="仿宋_GB2312" w:hAnsi="仿宋_GB2312" w:eastAsia="仿宋_GB2312" w:cs="仿宋_GB2312"/>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2021年本部门当年一般公共预算支出1350.95万元，其中：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工资福利支出（</w:t>
      </w:r>
      <w:r>
        <w:rPr>
          <w:rFonts w:hint="eastAsia" w:ascii="仿宋_GB2312" w:hAnsi="仿宋_GB2312" w:eastAsia="仿宋_GB2312" w:cs="仿宋_GB2312"/>
          <w:sz w:val="32"/>
          <w:szCs w:val="32"/>
          <w:highlight w:val="none"/>
          <w:lang w:val="en-US" w:eastAsia="zh-CN"/>
        </w:rPr>
        <w:t>301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1202.18万元，较上年增加58</w:t>
      </w:r>
      <w:r>
        <w:rPr>
          <w:rFonts w:hint="eastAsia" w:ascii="仿宋_GB2312" w:hAnsi="仿宋_GB2312" w:eastAsia="仿宋_GB2312" w:cs="仿宋_GB2312"/>
          <w:sz w:val="32"/>
          <w:szCs w:val="32"/>
          <w:highlight w:val="none"/>
          <w:lang w:eastAsia="zh-CN"/>
        </w:rPr>
        <w:t>万元，原因一是人员增加，相应的人员工资福利支出也随之增加；二是工资增加引起的住房公积金、社会保障缴费增加。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商品和服务支出（</w:t>
      </w:r>
      <w:r>
        <w:rPr>
          <w:rFonts w:hint="eastAsia" w:ascii="仿宋_GB2312" w:hAnsi="仿宋_GB2312" w:eastAsia="仿宋_GB2312" w:cs="仿宋_GB2312"/>
          <w:sz w:val="32"/>
          <w:szCs w:val="32"/>
          <w:highlight w:val="none"/>
          <w:lang w:val="en-US" w:eastAsia="zh-CN"/>
        </w:rPr>
        <w:t>302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145.53万元，较上年增加19.61</w:t>
      </w:r>
      <w:r>
        <w:rPr>
          <w:rFonts w:hint="eastAsia" w:ascii="仿宋_GB2312" w:hAnsi="仿宋_GB2312" w:eastAsia="仿宋_GB2312" w:cs="仿宋_GB2312"/>
          <w:sz w:val="32"/>
          <w:szCs w:val="32"/>
          <w:highlight w:val="none"/>
          <w:lang w:eastAsia="zh-CN"/>
        </w:rPr>
        <w:t>万元，原因是</w:t>
      </w:r>
      <w:r>
        <w:rPr>
          <w:rFonts w:hint="eastAsia" w:ascii="仿宋_GB2312" w:hAnsi="仿宋_GB2312" w:eastAsia="仿宋_GB2312" w:cs="仿宋_GB2312"/>
          <w:sz w:val="32"/>
          <w:szCs w:val="32"/>
          <w:highlight w:val="none"/>
          <w:lang w:val="en-US" w:eastAsia="zh-CN"/>
        </w:rPr>
        <w:t>机构人员增加，相应的人员经费及商品和服务支出也随之增加。</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对个人和家庭的补助支出（303）3.24万元，较上年增加2.82</w:t>
      </w:r>
      <w:r>
        <w:rPr>
          <w:rFonts w:hint="eastAsia" w:ascii="仿宋_GB2312" w:hAnsi="仿宋_GB2312" w:eastAsia="仿宋_GB2312" w:cs="仿宋_GB2312"/>
          <w:sz w:val="32"/>
          <w:szCs w:val="32"/>
          <w:highlight w:val="none"/>
          <w:lang w:eastAsia="zh-CN"/>
        </w:rPr>
        <w:t>万元，原因是遗属自然增加，补助支出也随之增加；</w:t>
      </w:r>
    </w:p>
    <w:p>
      <w:pPr>
        <w:numPr>
          <w:ilvl w:val="0"/>
          <w:numId w:val="2"/>
        </w:num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按照</w:t>
      </w:r>
      <w:r>
        <w:rPr>
          <w:rFonts w:hint="eastAsia" w:ascii="仿宋_GB2312" w:hAnsi="仿宋_GB2312" w:eastAsia="仿宋_GB2312" w:cs="仿宋_GB2312"/>
          <w:sz w:val="32"/>
          <w:szCs w:val="32"/>
          <w:highlight w:val="none"/>
          <w:lang w:eastAsia="zh-CN"/>
        </w:rPr>
        <w:t>政府预算</w:t>
      </w:r>
      <w:r>
        <w:rPr>
          <w:rFonts w:hint="eastAsia" w:ascii="仿宋_GB2312" w:hAnsi="仿宋_GB2312" w:eastAsia="仿宋_GB2312" w:cs="仿宋_GB2312"/>
          <w:sz w:val="32"/>
          <w:szCs w:val="32"/>
          <w:highlight w:val="none"/>
        </w:rPr>
        <w:t>支出</w:t>
      </w:r>
      <w:r>
        <w:rPr>
          <w:rFonts w:hint="eastAsia" w:ascii="仿宋_GB2312" w:hAnsi="仿宋_GB2312" w:eastAsia="仿宋_GB2312" w:cs="仿宋_GB2312"/>
          <w:sz w:val="32"/>
          <w:szCs w:val="32"/>
          <w:highlight w:val="none"/>
          <w:lang w:eastAsia="zh-CN"/>
        </w:rPr>
        <w:t>经济</w:t>
      </w:r>
      <w:r>
        <w:rPr>
          <w:rFonts w:hint="eastAsia" w:ascii="仿宋_GB2312" w:hAnsi="仿宋_GB2312" w:eastAsia="仿宋_GB2312" w:cs="仿宋_GB2312"/>
          <w:sz w:val="32"/>
          <w:szCs w:val="32"/>
          <w:highlight w:val="none"/>
        </w:rPr>
        <w:t>分类的类级科目</w:t>
      </w:r>
      <w:r>
        <w:rPr>
          <w:rFonts w:hint="eastAsia" w:ascii="仿宋_GB2312" w:hAnsi="仿宋_GB2312" w:eastAsia="仿宋_GB2312" w:cs="仿宋_GB2312"/>
          <w:sz w:val="32"/>
          <w:szCs w:val="32"/>
          <w:highlight w:val="none"/>
          <w:lang w:eastAsia="zh-CN"/>
        </w:rPr>
        <w:t>说明。</w:t>
      </w:r>
    </w:p>
    <w:p>
      <w:pPr>
        <w:numPr>
          <w:ilvl w:val="0"/>
          <w:numId w:val="0"/>
        </w:num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2021年本部门当年一般公共预算支出1350.95万元，其中：</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机关工资福利支出（</w:t>
      </w:r>
      <w:r>
        <w:rPr>
          <w:rFonts w:hint="eastAsia" w:ascii="仿宋_GB2312" w:hAnsi="仿宋_GB2312" w:eastAsia="仿宋_GB2312" w:cs="仿宋_GB2312"/>
          <w:sz w:val="32"/>
          <w:szCs w:val="32"/>
          <w:highlight w:val="none"/>
          <w:lang w:val="en-US" w:eastAsia="zh-CN"/>
        </w:rPr>
        <w:t>501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569.59万元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较上年增加7.91</w:t>
      </w:r>
      <w:r>
        <w:rPr>
          <w:rFonts w:hint="eastAsia" w:ascii="仿宋_GB2312" w:hAnsi="仿宋_GB2312" w:eastAsia="仿宋_GB2312" w:cs="仿宋_GB2312"/>
          <w:sz w:val="32"/>
          <w:szCs w:val="32"/>
          <w:highlight w:val="none"/>
          <w:lang w:eastAsia="zh-CN"/>
        </w:rPr>
        <w:t>万元，原因是机构改革划入职能和人员，增加相应的机关工资福利支出。</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机关商品和服务支出（</w:t>
      </w:r>
      <w:r>
        <w:rPr>
          <w:rFonts w:hint="eastAsia" w:ascii="仿宋_GB2312" w:hAnsi="仿宋_GB2312" w:eastAsia="仿宋_GB2312" w:cs="仿宋_GB2312"/>
          <w:sz w:val="32"/>
          <w:szCs w:val="32"/>
          <w:highlight w:val="none"/>
          <w:lang w:val="en-US" w:eastAsia="zh-CN"/>
        </w:rPr>
        <w:t>502</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89.88万元，较上年增加13.59</w:t>
      </w:r>
      <w:r>
        <w:rPr>
          <w:rFonts w:hint="eastAsia" w:ascii="仿宋_GB2312" w:hAnsi="仿宋_GB2312" w:eastAsia="仿宋_GB2312" w:cs="仿宋_GB2312"/>
          <w:sz w:val="32"/>
          <w:szCs w:val="32"/>
          <w:highlight w:val="none"/>
          <w:lang w:eastAsia="zh-CN"/>
        </w:rPr>
        <w:t>万元，原因是机构改革划入职能和人员，增加相应的机关商品和服务支出。</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对事业单位经常性补助（505）688.24万元，较上年增加56.11</w:t>
      </w:r>
      <w:r>
        <w:rPr>
          <w:rFonts w:hint="eastAsia" w:ascii="仿宋_GB2312" w:hAnsi="仿宋_GB2312" w:eastAsia="仿宋_GB2312" w:cs="仿宋_GB2312"/>
          <w:sz w:val="32"/>
          <w:szCs w:val="32"/>
          <w:highlight w:val="none"/>
          <w:lang w:eastAsia="zh-CN"/>
        </w:rPr>
        <w:t>万元，原因是机构改革划入职能和人员，人员增加相应的事业单位的补助也随之增加。</w:t>
      </w:r>
    </w:p>
    <w:p>
      <w:pPr>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对个人的家庭和补助（</w:t>
      </w:r>
      <w:r>
        <w:rPr>
          <w:rFonts w:hint="eastAsia" w:ascii="仿宋_GB2312" w:hAnsi="仿宋_GB2312" w:eastAsia="仿宋_GB2312" w:cs="仿宋_GB2312"/>
          <w:sz w:val="32"/>
          <w:szCs w:val="32"/>
          <w:highlight w:val="none"/>
          <w:lang w:val="en-US" w:eastAsia="zh-CN"/>
        </w:rPr>
        <w:t>509）3.24万元，较上年增加2.82</w:t>
      </w:r>
      <w:r>
        <w:rPr>
          <w:rFonts w:hint="eastAsia" w:ascii="仿宋_GB2312" w:hAnsi="仿宋_GB2312" w:eastAsia="仿宋_GB2312" w:cs="仿宋_GB2312"/>
          <w:sz w:val="32"/>
          <w:szCs w:val="32"/>
          <w:highlight w:val="none"/>
          <w:lang w:eastAsia="zh-CN"/>
        </w:rPr>
        <w:t>万元，原因是遗属自然增加，补助支出也随之增加；</w:t>
      </w:r>
    </w:p>
    <w:p>
      <w:pPr>
        <w:numPr>
          <w:ilvl w:val="0"/>
          <w:numId w:val="3"/>
        </w:num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2020年结转财政资金一般公共预算拨款支出情况。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本部门无2020年结转的一般公共预算拨款资金支出</w:t>
      </w:r>
    </w:p>
    <w:p>
      <w:pPr>
        <w:numPr>
          <w:ilvl w:val="0"/>
          <w:numId w:val="4"/>
        </w:num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政府性基金预算支出情况。</w:t>
      </w:r>
    </w:p>
    <w:p>
      <w:pPr>
        <w:numPr>
          <w:ilvl w:val="0"/>
          <w:numId w:val="5"/>
        </w:numPr>
        <w:ind w:left="735" w:leftChars="0" w:firstLine="0" w:firstLineChars="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政府性基金预算</w:t>
      </w:r>
      <w:r>
        <w:rPr>
          <w:rFonts w:hint="eastAsia" w:ascii="仿宋_GB2312" w:hAnsi="仿宋_GB2312" w:eastAsia="仿宋_GB2312" w:cs="仿宋_GB2312"/>
          <w:sz w:val="32"/>
          <w:szCs w:val="32"/>
          <w:highlight w:val="none"/>
          <w:lang w:eastAsia="zh-CN"/>
        </w:rPr>
        <w:t>收支，并</w:t>
      </w:r>
      <w:r>
        <w:rPr>
          <w:rFonts w:hint="eastAsia" w:ascii="仿宋_GB2312" w:hAnsi="仿宋_GB2312" w:eastAsia="仿宋_GB2312" w:cs="仿宋_GB2312"/>
          <w:sz w:val="32"/>
          <w:szCs w:val="32"/>
          <w:highlight w:val="none"/>
        </w:rPr>
        <w:t>已公开空表</w:t>
      </w:r>
    </w:p>
    <w:p>
      <w:pPr>
        <w:pStyle w:val="2"/>
        <w:numPr>
          <w:ilvl w:val="0"/>
          <w:numId w:val="0"/>
        </w:numPr>
        <w:ind w:left="735" w:leftChars="0"/>
        <w:rPr>
          <w:rFonts w:hint="default"/>
          <w:lang w:val="en-US" w:eastAsia="zh-CN"/>
        </w:rPr>
      </w:pPr>
      <w:r>
        <w:rPr>
          <w:rFonts w:hint="eastAsia" w:ascii="仿宋_GB2312" w:hAnsi="仿宋_GB2312" w:eastAsia="仿宋_GB2312" w:cs="仿宋_GB2312"/>
          <w:sz w:val="32"/>
          <w:szCs w:val="32"/>
          <w:highlight w:val="none"/>
          <w:lang w:val="en-US" w:eastAsia="zh-CN"/>
        </w:rPr>
        <w:t>2、本部门无2020年结转的政府性基金预算拨款支出</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（五）</w:t>
      </w:r>
      <w:r>
        <w:rPr>
          <w:rFonts w:hint="eastAsia" w:ascii="仿宋_GB2312" w:hAnsi="仿宋_GB2312" w:eastAsia="仿宋_GB2312" w:cs="仿宋_GB2312"/>
          <w:sz w:val="32"/>
          <w:szCs w:val="32"/>
          <w:highlight w:val="none"/>
        </w:rPr>
        <w:t>国有资本经营预算拨款收支情况。</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本部门无</w:t>
      </w:r>
      <w:r>
        <w:rPr>
          <w:rFonts w:hint="eastAsia" w:ascii="仿宋_GB2312" w:hAnsi="仿宋_GB2312" w:eastAsia="仿宋_GB2312" w:cs="仿宋_GB2312"/>
          <w:sz w:val="32"/>
          <w:szCs w:val="32"/>
          <w:highlight w:val="none"/>
          <w:lang w:eastAsia="zh-CN"/>
        </w:rPr>
        <w:t>当年</w:t>
      </w:r>
      <w:r>
        <w:rPr>
          <w:rFonts w:hint="eastAsia" w:ascii="仿宋_GB2312" w:hAnsi="仿宋_GB2312" w:eastAsia="仿宋_GB2312" w:cs="仿宋_GB2312"/>
          <w:sz w:val="32"/>
          <w:szCs w:val="32"/>
          <w:highlight w:val="none"/>
        </w:rPr>
        <w:t>国有资本经营预算拨款收支</w:t>
      </w:r>
      <w:r>
        <w:rPr>
          <w:rFonts w:hint="eastAsia" w:ascii="仿宋_GB2312" w:hAnsi="仿宋_GB2312" w:eastAsia="仿宋_GB2312" w:cs="仿宋_GB2312"/>
          <w:sz w:val="32"/>
          <w:szCs w:val="32"/>
          <w:highlight w:val="none"/>
          <w:lang w:eastAsia="zh-CN"/>
        </w:rPr>
        <w:t>，并在财政拨款收支总体情况表中列示</w:t>
      </w:r>
      <w:r>
        <w:rPr>
          <w:rFonts w:hint="eastAsia" w:ascii="仿宋_GB2312" w:hAnsi="仿宋_GB2312" w:eastAsia="仿宋_GB2312" w:cs="仿宋_GB2312"/>
          <w:sz w:val="32"/>
          <w:szCs w:val="32"/>
          <w:highlight w:val="none"/>
        </w:rPr>
        <w:t>。</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本部门无2020年结转的国有资本经营预算拨款支出。</w:t>
      </w:r>
    </w:p>
    <w:p>
      <w:pPr>
        <w:ind w:firstLine="640"/>
        <w:rPr>
          <w:rFonts w:hint="eastAsia" w:ascii="仿宋_GB2312" w:hAnsi="仿宋_GB2312" w:eastAsia="仿宋_GB2312" w:cs="仿宋_GB2312"/>
          <w:sz w:val="32"/>
          <w:szCs w:val="32"/>
          <w:highlight w:val="none"/>
          <w:lang w:val="en-US" w:eastAsia="zh-CN"/>
        </w:rPr>
      </w:pPr>
    </w:p>
    <w:p>
      <w:pPr>
        <w:jc w:val="center"/>
        <w:rPr>
          <w:rFonts w:hint="default" w:ascii="仿宋_GB2312" w:hAnsi="仿宋_GB2312" w:eastAsia="仿宋_GB2312" w:cs="仿宋_GB2312"/>
          <w:sz w:val="32"/>
          <w:szCs w:val="32"/>
          <w:highlight w:val="none"/>
          <w:lang w:val="en-US" w:eastAsia="zh-CN"/>
        </w:rPr>
      </w:pPr>
      <w:r>
        <w:rPr>
          <w:rFonts w:hint="eastAsia" w:asciiTheme="minorEastAsia" w:hAnsiTheme="minorEastAsia" w:eastAsiaTheme="minorEastAsia" w:cstheme="minorEastAsia"/>
          <w:b/>
          <w:bCs/>
          <w:sz w:val="32"/>
          <w:szCs w:val="32"/>
          <w:highlight w:val="none"/>
          <w:lang w:eastAsia="zh-CN"/>
        </w:rPr>
        <w:t>第三部分</w:t>
      </w:r>
      <w:r>
        <w:rPr>
          <w:rFonts w:hint="eastAsia" w:asciiTheme="minorEastAsia" w:hAnsiTheme="minorEastAsia" w:eastAsiaTheme="minorEastAsia" w:cstheme="minorEastAsia"/>
          <w:b/>
          <w:bCs/>
          <w:sz w:val="32"/>
          <w:szCs w:val="32"/>
          <w:highlight w:val="none"/>
          <w:lang w:val="en-US" w:eastAsia="zh-CN"/>
        </w:rPr>
        <w:t xml:space="preserve">  其他说明情况</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六</w:t>
      </w:r>
      <w:r>
        <w:rPr>
          <w:rFonts w:hint="eastAsia" w:ascii="仿宋_GB2312" w:hAnsi="仿宋_GB2312" w:eastAsia="仿宋_GB2312" w:cs="仿宋_GB2312"/>
          <w:b/>
          <w:bCs/>
          <w:sz w:val="32"/>
          <w:szCs w:val="32"/>
          <w:highlight w:val="none"/>
        </w:rPr>
        <w:t>、</w:t>
      </w:r>
      <w:r>
        <w:rPr>
          <w:rFonts w:hint="eastAsia" w:ascii="仿宋_GB2312" w:hAnsi="仿宋_GB2312" w:eastAsia="仿宋_GB2312" w:cs="仿宋_GB2312"/>
          <w:b/>
          <w:bCs/>
          <w:sz w:val="32"/>
          <w:szCs w:val="32"/>
          <w:highlight w:val="none"/>
          <w:lang w:eastAsia="zh-CN"/>
        </w:rPr>
        <w:t>部门预算</w:t>
      </w:r>
      <w:r>
        <w:rPr>
          <w:rFonts w:hint="eastAsia" w:ascii="仿宋_GB2312" w:hAnsi="仿宋_GB2312" w:eastAsia="仿宋_GB2312" w:cs="仿宋_GB2312"/>
          <w:b/>
          <w:bCs/>
          <w:sz w:val="32"/>
          <w:szCs w:val="32"/>
          <w:highlight w:val="none"/>
        </w:rPr>
        <w:t>“三公”经费等预算情况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三公”经费预算支出3.87万元，较上年减少0.04万元（1.0%），减少的主要原因是强化了对公务接待的管理减少了接待支出。其中：因公出国（境）经费0万元，与上年相等，主要原因是当年无因公出国（境）预算；公务接待费费3.87万元，较上年减少0.04万元（1.0%），减少的主要原因是强化了对公务接待的管理减少了接待支出；公务用车运行维护费0万元，与上年相等。公务用车购置费0万元，与上年相等。主要原因是行政事业单位车改，无公务用车也无需公共用车购置。</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2021年本部门当年一般公共预算安排的会议费支出2.5万元，与上年相等，因大多数会议为规定性会议，故2021年费用支出不变。</w:t>
      </w:r>
    </w:p>
    <w:p>
      <w:pPr>
        <w:pStyle w:val="2"/>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2021年本部门当年一般公共预算安排的培训费支出1.60万元，较上年增加1.60万元，因为各项新项目的开展需要参加相应的业务培训，故培训费用增加。</w:t>
      </w:r>
    </w:p>
    <w:p>
      <w:pPr>
        <w:pStyle w:val="2"/>
        <w:ind w:firstLine="64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本部门无2020年结转的财政拨款的“三公”经费、会议费和培训费支出。</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七、</w:t>
      </w:r>
      <w:r>
        <w:rPr>
          <w:rFonts w:hint="eastAsia" w:ascii="仿宋_GB2312" w:hAnsi="仿宋_GB2312" w:eastAsia="仿宋_GB2312" w:cs="仿宋_GB2312"/>
          <w:b/>
          <w:bCs/>
          <w:sz w:val="32"/>
          <w:szCs w:val="32"/>
          <w:highlight w:val="none"/>
        </w:rPr>
        <w:t>部门国有资产占有使用</w:t>
      </w:r>
      <w:r>
        <w:rPr>
          <w:rFonts w:hint="eastAsia" w:ascii="仿宋_GB2312" w:hAnsi="仿宋_GB2312" w:eastAsia="仿宋_GB2312" w:cs="仿宋_GB2312"/>
          <w:b/>
          <w:bCs/>
          <w:sz w:val="32"/>
          <w:szCs w:val="32"/>
          <w:highlight w:val="none"/>
          <w:lang w:eastAsia="zh-CN"/>
        </w:rPr>
        <w:t>及资产购置</w:t>
      </w:r>
      <w:r>
        <w:rPr>
          <w:rFonts w:hint="eastAsia" w:ascii="仿宋_GB2312" w:hAnsi="仿宋_GB2312" w:eastAsia="仿宋_GB2312" w:cs="仿宋_GB2312"/>
          <w:b/>
          <w:bCs/>
          <w:sz w:val="32"/>
          <w:szCs w:val="32"/>
          <w:highlight w:val="none"/>
        </w:rPr>
        <w:t>情况说明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截止</w:t>
      </w:r>
      <w:r>
        <w:rPr>
          <w:rFonts w:hint="eastAsia" w:ascii="仿宋_GB2312" w:hAnsi="仿宋_GB2312" w:eastAsia="仿宋_GB2312" w:cs="仿宋_GB2312"/>
          <w:sz w:val="32"/>
          <w:szCs w:val="32"/>
          <w:highlight w:val="none"/>
          <w:lang w:val="en-US" w:eastAsia="zh-CN"/>
        </w:rPr>
        <w:t>2020年底，本部门所属预算单位共有车辆0辆，单价20万元以上的设备4台（套）。2021年当年部门预算安排购置车辆0辆；安排购置单价20万元以上的设备0台（套）。</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本部门无20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年结转的财政拨款支出资产购置。</w:t>
      </w:r>
    </w:p>
    <w:p>
      <w:pPr>
        <w:ind w:firstLine="64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八</w:t>
      </w:r>
      <w:r>
        <w:rPr>
          <w:rFonts w:hint="eastAsia" w:ascii="仿宋_GB2312" w:hAnsi="仿宋_GB2312" w:eastAsia="仿宋_GB2312" w:cs="仿宋_GB2312"/>
          <w:b/>
          <w:bCs/>
          <w:sz w:val="32"/>
          <w:szCs w:val="32"/>
          <w:highlight w:val="none"/>
        </w:rPr>
        <w:t>、政府采购情况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本部门</w:t>
      </w:r>
      <w:r>
        <w:rPr>
          <w:rFonts w:hint="eastAsia"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rPr>
        <w:t>无政府</w:t>
      </w:r>
      <w:r>
        <w:rPr>
          <w:rFonts w:hint="eastAsia" w:ascii="仿宋_GB2312" w:hAnsi="仿宋_GB2312" w:eastAsia="仿宋_GB2312" w:cs="仿宋_GB2312"/>
          <w:sz w:val="32"/>
          <w:szCs w:val="32"/>
          <w:highlight w:val="none"/>
          <w:lang w:eastAsia="zh-CN"/>
        </w:rPr>
        <w:t>采购预算，并</w:t>
      </w:r>
      <w:r>
        <w:rPr>
          <w:rFonts w:hint="eastAsia" w:ascii="仿宋_GB2312" w:hAnsi="仿宋_GB2312" w:eastAsia="仿宋_GB2312" w:cs="仿宋_GB2312"/>
          <w:sz w:val="32"/>
          <w:szCs w:val="32"/>
          <w:highlight w:val="none"/>
        </w:rPr>
        <w:t>已公开空表。</w:t>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本部门无2020年结转的政府采购资金支出。</w:t>
      </w:r>
    </w:p>
    <w:p>
      <w:pPr>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九、</w:t>
      </w:r>
      <w:r>
        <w:rPr>
          <w:rFonts w:hint="eastAsia" w:ascii="仿宋_GB2312" w:hAnsi="仿宋_GB2312" w:eastAsia="仿宋_GB2312" w:cs="仿宋_GB2312"/>
          <w:b/>
          <w:bCs/>
          <w:sz w:val="32"/>
          <w:szCs w:val="32"/>
          <w:highlight w:val="none"/>
        </w:rPr>
        <w:t>部门预算绩效目标</w:t>
      </w:r>
      <w:r>
        <w:rPr>
          <w:rFonts w:hint="eastAsia" w:ascii="仿宋_GB2312" w:hAnsi="仿宋_GB2312" w:eastAsia="仿宋_GB2312" w:cs="仿宋_GB2312"/>
          <w:b/>
          <w:bCs/>
          <w:sz w:val="32"/>
          <w:szCs w:val="32"/>
          <w:highlight w:val="none"/>
          <w:lang w:eastAsia="zh-CN"/>
        </w:rPr>
        <w:t>情况</w:t>
      </w:r>
      <w:r>
        <w:rPr>
          <w:rFonts w:hint="eastAsia" w:ascii="仿宋_GB2312" w:hAnsi="仿宋_GB2312" w:eastAsia="仿宋_GB2312" w:cs="仿宋_GB2312"/>
          <w:b/>
          <w:bCs/>
          <w:sz w:val="32"/>
          <w:szCs w:val="32"/>
          <w:highlight w:val="none"/>
        </w:rPr>
        <w:t>说明</w:t>
      </w:r>
      <w:bookmarkStart w:id="0" w:name="_GoBack"/>
      <w:bookmarkEnd w:id="0"/>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2021年本部门绩效目标管理全覆盖，涉及当年一般公共预算当年拨款1350.95万元,当年政府性基金</w:t>
      </w:r>
      <w:r>
        <w:rPr>
          <w:rFonts w:hint="eastAsia" w:ascii="仿宋_GB2312" w:hAnsi="仿宋_GB2312" w:eastAsia="仿宋_GB2312" w:cs="仿宋_GB2312"/>
          <w:sz w:val="32"/>
          <w:szCs w:val="32"/>
          <w:highlight w:val="none"/>
          <w:lang w:eastAsia="zh-CN"/>
        </w:rPr>
        <w:t>预算当年拨款</w:t>
      </w:r>
      <w:r>
        <w:rPr>
          <w:rFonts w:hint="eastAsia" w:ascii="仿宋_GB2312" w:hAnsi="仿宋_GB2312" w:eastAsia="仿宋_GB2312" w:cs="仿宋_GB2312"/>
          <w:sz w:val="32"/>
          <w:szCs w:val="32"/>
          <w:highlight w:val="none"/>
          <w:lang w:val="en-US" w:eastAsia="zh-CN"/>
        </w:rPr>
        <w:t>0万元，当年国有资本经营预算拨款0万元（详见公开报表中的绩效目标表）。</w:t>
      </w:r>
    </w:p>
    <w:p>
      <w:pPr>
        <w:ind w:firstLine="64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本部门无20</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lang w:eastAsia="zh-CN"/>
        </w:rPr>
        <w:t>年结转的财政拨款支出涉及的绩效目标管理”。</w:t>
      </w:r>
    </w:p>
    <w:p>
      <w:pPr>
        <w:ind w:firstLine="640"/>
        <w:rPr>
          <w:rFonts w:hint="eastAsia" w:ascii="仿宋_GB2312" w:hAnsi="仿宋_GB2312" w:eastAsia="仿宋_GB2312" w:cs="仿宋_GB2312"/>
          <w:b w:val="0"/>
          <w:bCs w:val="0"/>
          <w:sz w:val="32"/>
          <w:szCs w:val="32"/>
          <w:highlight w:val="none"/>
          <w:lang w:eastAsia="zh-CN"/>
        </w:rPr>
      </w:pPr>
      <w:r>
        <w:rPr>
          <w:rFonts w:hint="eastAsia" w:ascii="仿宋_GB2312" w:hAnsi="仿宋_GB2312" w:eastAsia="仿宋_GB2312" w:cs="仿宋_GB2312"/>
          <w:b/>
          <w:bCs/>
          <w:sz w:val="32"/>
          <w:szCs w:val="32"/>
          <w:highlight w:val="none"/>
          <w:lang w:eastAsia="zh-CN"/>
        </w:rPr>
        <w:t>十、</w:t>
      </w:r>
      <w:r>
        <w:rPr>
          <w:rFonts w:hint="eastAsia" w:ascii="仿宋_GB2312" w:hAnsi="仿宋_GB2312" w:eastAsia="仿宋_GB2312" w:cs="仿宋_GB2312"/>
          <w:b/>
          <w:bCs/>
          <w:sz w:val="32"/>
          <w:szCs w:val="32"/>
          <w:highlight w:val="none"/>
        </w:rPr>
        <w:t>机关运行经费安排情况</w:t>
      </w:r>
      <w:r>
        <w:rPr>
          <w:rFonts w:hint="eastAsia" w:ascii="仿宋_GB2312" w:hAnsi="仿宋_GB2312" w:eastAsia="仿宋_GB2312" w:cs="仿宋_GB2312"/>
          <w:b/>
          <w:bCs/>
          <w:sz w:val="32"/>
          <w:szCs w:val="32"/>
          <w:highlight w:val="none"/>
          <w:lang w:eastAsia="zh-CN"/>
        </w:rPr>
        <w:t>说明</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本部门</w:t>
      </w:r>
      <w:r>
        <w:rPr>
          <w:rFonts w:hint="eastAsia" w:ascii="仿宋_GB2312" w:hAnsi="仿宋_GB2312" w:eastAsia="仿宋_GB2312" w:cs="仿宋_GB2312"/>
          <w:sz w:val="32"/>
          <w:szCs w:val="32"/>
          <w:highlight w:val="none"/>
          <w:lang w:val="en-US" w:eastAsia="zh-CN"/>
        </w:rPr>
        <w:t>当年机关运行经费预算安排1350.95万元，较上年增加80.43万元，主要原因是机构改革划入职能和人员增加，相应的人员经费及商品和服务支出也随之减少。</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本部门无2020年结转的财政拨款机关运行费支出。</w:t>
      </w:r>
    </w:p>
    <w:p>
      <w:pPr>
        <w:ind w:firstLine="640"/>
        <w:rPr>
          <w:rFonts w:hint="eastAsia" w:ascii="仿宋_GB2312" w:hAnsi="仿宋_GB2312" w:eastAsia="仿宋_GB2312" w:cs="仿宋_GB2312"/>
          <w:b w:val="0"/>
          <w:bCs w:val="0"/>
          <w:sz w:val="32"/>
          <w:szCs w:val="32"/>
          <w:highlight w:val="none"/>
        </w:rPr>
      </w:pPr>
      <w:r>
        <w:rPr>
          <w:rFonts w:hint="eastAsia" w:ascii="仿宋_GB2312" w:hAnsi="仿宋_GB2312" w:eastAsia="仿宋_GB2312" w:cs="仿宋_GB2312"/>
          <w:b/>
          <w:bCs/>
          <w:sz w:val="32"/>
          <w:szCs w:val="32"/>
          <w:highlight w:val="none"/>
          <w:lang w:eastAsia="zh-CN"/>
        </w:rPr>
        <w:t>十一</w:t>
      </w:r>
      <w:r>
        <w:rPr>
          <w:rFonts w:hint="eastAsia" w:ascii="仿宋_GB2312" w:hAnsi="仿宋_GB2312" w:eastAsia="仿宋_GB2312" w:cs="仿宋_GB2312"/>
          <w:b/>
          <w:bCs/>
          <w:sz w:val="32"/>
          <w:szCs w:val="32"/>
          <w:highlight w:val="none"/>
        </w:rPr>
        <w:t>、专业名词解释</w:t>
      </w:r>
    </w:p>
    <w:p>
      <w:pPr>
        <w:ind w:firstLine="64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1.机关运行经费：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600" w:lineRule="exact"/>
        <w:ind w:firstLine="640" w:firstLineChars="200"/>
        <w:rPr>
          <w:rFonts w:hint="eastAsia" w:ascii="仿宋_GB2312" w:hAnsi="宋体" w:eastAsia="仿宋_GB2312"/>
          <w:kern w:val="0"/>
          <w:sz w:val="32"/>
          <w:szCs w:val="32"/>
        </w:rPr>
      </w:pPr>
      <w:r>
        <w:rPr>
          <w:rFonts w:hint="eastAsia" w:ascii="仿宋_GB2312" w:hAnsi="仿宋_GB2312" w:eastAsia="仿宋_GB2312" w:cs="仿宋_GB2312"/>
          <w:sz w:val="32"/>
          <w:szCs w:val="32"/>
          <w:highlight w:val="none"/>
        </w:rPr>
        <w:t>2.</w:t>
      </w:r>
      <w:r>
        <w:rPr>
          <w:rFonts w:hint="eastAsia" w:ascii="仿宋_GB2312" w:hAnsi="宋体" w:eastAsia="仿宋_GB2312"/>
          <w:kern w:val="0"/>
          <w:sz w:val="32"/>
          <w:szCs w:val="32"/>
        </w:rPr>
        <w:t>“三公”经费：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ind w:firstLine="640"/>
        <w:rPr>
          <w:rFonts w:hint="eastAsia" w:ascii="仿宋_GB2312" w:hAnsi="仿宋_GB2312" w:eastAsia="仿宋_GB2312" w:cs="仿宋_GB2312"/>
          <w:sz w:val="32"/>
          <w:szCs w:val="32"/>
          <w:highlight w:val="none"/>
        </w:rPr>
      </w:pP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第四部分</w:t>
      </w:r>
      <w:r>
        <w:rPr>
          <w:rFonts w:hint="eastAsia" w:ascii="仿宋_GB2312" w:hAnsi="仿宋_GB2312" w:eastAsia="仿宋_GB2312" w:cs="仿宋_GB2312"/>
          <w:b/>
          <w:bCs/>
          <w:sz w:val="32"/>
          <w:szCs w:val="32"/>
          <w:highlight w:val="none"/>
          <w:lang w:val="en-US" w:eastAsia="zh-CN"/>
        </w:rPr>
        <w:t xml:space="preserve">  公开报表</w:t>
      </w:r>
      <w:r>
        <w:rPr>
          <w:rFonts w:hint="eastAsia" w:ascii="仿宋_GB2312" w:hAnsi="仿宋_GB2312" w:eastAsia="仿宋_GB2312" w:cs="仿宋_GB2312"/>
          <w:sz w:val="32"/>
          <w:szCs w:val="32"/>
          <w:highlight w:val="none"/>
        </w:rPr>
        <w:tab/>
      </w:r>
    </w:p>
    <w:p>
      <w:pPr>
        <w:ind w:firstLine="64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（见附件</w:t>
      </w:r>
      <w:r>
        <w:rPr>
          <w:rFonts w:hint="eastAsia" w:ascii="仿宋_GB2312" w:hAnsi="仿宋_GB2312" w:eastAsia="仿宋_GB2312" w:cs="仿宋_GB2312"/>
          <w:sz w:val="32"/>
          <w:szCs w:val="32"/>
          <w:highlight w:val="none"/>
          <w:lang w:val="en-US" w:eastAsia="zh-CN"/>
        </w:rPr>
        <w:t>2内容</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r>
        <w:rPr>
          <w:rFonts w:hint="eastAsia" w:ascii="仿宋_GB2312" w:hAnsi="仿宋_GB2312" w:eastAsia="仿宋_GB2312" w:cs="仿宋_GB2312"/>
          <w:sz w:val="32"/>
          <w:szCs w:val="32"/>
          <w:highlight w:val="none"/>
        </w:rPr>
        <w:tab/>
      </w:r>
    </w:p>
    <w:p>
      <w:pPr>
        <w:rPr>
          <w:highlight w:val="none"/>
        </w:rPr>
      </w:pPr>
    </w:p>
    <w:sectPr>
      <w:pgSz w:w="11906" w:h="16838"/>
      <w:pgMar w:top="1440" w:right="1800" w:bottom="1440" w:left="1800" w:header="851" w:footer="992" w:gutter="0"/>
      <w:cols w:space="720"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481CFAB"/>
    <w:multiLevelType w:val="singleLevel"/>
    <w:tmpl w:val="B481CFAB"/>
    <w:lvl w:ilvl="0" w:tentative="0">
      <w:start w:val="4"/>
      <w:numFmt w:val="chineseCounting"/>
      <w:suff w:val="nothing"/>
      <w:lvlText w:val="（%1）"/>
      <w:lvlJc w:val="left"/>
      <w:rPr>
        <w:rFonts w:hint="eastAsia"/>
      </w:rPr>
    </w:lvl>
  </w:abstractNum>
  <w:abstractNum w:abstractNumId="1">
    <w:nsid w:val="B8BD8AF5"/>
    <w:multiLevelType w:val="singleLevel"/>
    <w:tmpl w:val="B8BD8AF5"/>
    <w:lvl w:ilvl="0" w:tentative="0">
      <w:start w:val="1"/>
      <w:numFmt w:val="chineseCounting"/>
      <w:suff w:val="nothing"/>
      <w:lvlText w:val="%1、"/>
      <w:lvlJc w:val="left"/>
      <w:rPr>
        <w:rFonts w:hint="eastAsia"/>
      </w:rPr>
    </w:lvl>
  </w:abstractNum>
  <w:abstractNum w:abstractNumId="2">
    <w:nsid w:val="C139C0F3"/>
    <w:multiLevelType w:val="singleLevel"/>
    <w:tmpl w:val="C139C0F3"/>
    <w:lvl w:ilvl="0" w:tentative="0">
      <w:start w:val="2"/>
      <w:numFmt w:val="decimal"/>
      <w:suff w:val="nothing"/>
      <w:lvlText w:val="（%1）"/>
      <w:lvlJc w:val="left"/>
    </w:lvl>
  </w:abstractNum>
  <w:abstractNum w:abstractNumId="3">
    <w:nsid w:val="C38D6C1A"/>
    <w:multiLevelType w:val="singleLevel"/>
    <w:tmpl w:val="C38D6C1A"/>
    <w:lvl w:ilvl="0" w:tentative="0">
      <w:start w:val="1"/>
      <w:numFmt w:val="decimal"/>
      <w:suff w:val="nothing"/>
      <w:lvlText w:val="%1、"/>
      <w:lvlJc w:val="left"/>
      <w:pPr>
        <w:ind w:left="735" w:leftChars="0" w:firstLine="0" w:firstLineChars="0"/>
      </w:pPr>
    </w:lvl>
  </w:abstractNum>
  <w:abstractNum w:abstractNumId="4">
    <w:nsid w:val="DD06BA2F"/>
    <w:multiLevelType w:val="singleLevel"/>
    <w:tmpl w:val="DD06BA2F"/>
    <w:lvl w:ilvl="0" w:tentative="0">
      <w:start w:val="4"/>
      <w:numFmt w:val="decimal"/>
      <w:suff w:val="nothing"/>
      <w:lvlText w:val="%1、"/>
      <w:lvlJc w:val="left"/>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dit="form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F745F"/>
    <w:rsid w:val="00C00F40"/>
    <w:rsid w:val="044538BC"/>
    <w:rsid w:val="04A805C4"/>
    <w:rsid w:val="059F2A0D"/>
    <w:rsid w:val="08867E9A"/>
    <w:rsid w:val="09FD68C4"/>
    <w:rsid w:val="0DCB4BB8"/>
    <w:rsid w:val="0EF825DF"/>
    <w:rsid w:val="14C1360F"/>
    <w:rsid w:val="169C65B3"/>
    <w:rsid w:val="17C870C9"/>
    <w:rsid w:val="18006FD8"/>
    <w:rsid w:val="19B239D9"/>
    <w:rsid w:val="19F24C5F"/>
    <w:rsid w:val="1A25019A"/>
    <w:rsid w:val="1A6F701C"/>
    <w:rsid w:val="1DC31186"/>
    <w:rsid w:val="24E73B22"/>
    <w:rsid w:val="25063CF3"/>
    <w:rsid w:val="251554EC"/>
    <w:rsid w:val="29C71D1C"/>
    <w:rsid w:val="2A452C34"/>
    <w:rsid w:val="2B850F82"/>
    <w:rsid w:val="2C6A30F5"/>
    <w:rsid w:val="2D3E4FD2"/>
    <w:rsid w:val="2F653F8E"/>
    <w:rsid w:val="35A427DE"/>
    <w:rsid w:val="35A46EDD"/>
    <w:rsid w:val="3CF86678"/>
    <w:rsid w:val="3E2A25EB"/>
    <w:rsid w:val="42301BAF"/>
    <w:rsid w:val="45E5510A"/>
    <w:rsid w:val="460E1C13"/>
    <w:rsid w:val="4A076BC2"/>
    <w:rsid w:val="514C1BF3"/>
    <w:rsid w:val="521A35B4"/>
    <w:rsid w:val="52B1585E"/>
    <w:rsid w:val="52FB617C"/>
    <w:rsid w:val="534746F9"/>
    <w:rsid w:val="56067571"/>
    <w:rsid w:val="562F2C38"/>
    <w:rsid w:val="57F67BEC"/>
    <w:rsid w:val="589F30C4"/>
    <w:rsid w:val="5E1E048F"/>
    <w:rsid w:val="66A210E1"/>
    <w:rsid w:val="66D4254F"/>
    <w:rsid w:val="6A2E3777"/>
    <w:rsid w:val="6A753CD8"/>
    <w:rsid w:val="7A7A306C"/>
    <w:rsid w:val="7A7B1A42"/>
    <w:rsid w:val="7A7F745F"/>
    <w:rsid w:val="7E953FD1"/>
    <w:rsid w:val="7F180692"/>
    <w:rsid w:val="7F8F1254"/>
    <w:rsid w:val="7FF80F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Normal (Web)"/>
    <w:basedOn w:val="1"/>
    <w:qFormat/>
    <w:uiPriority w:val="0"/>
    <w:pPr>
      <w:widowControl/>
      <w:spacing w:before="100" w:beforeAutospacing="1" w:after="100" w:afterAutospacing="1"/>
      <w:jc w:val="left"/>
    </w:pPr>
    <w:rPr>
      <w:rFonts w:ascii="宋体" w:hAnsi="宋体" w:cs="宋体"/>
      <w:color w:val="000000"/>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2019-10-12T01:15:00Z</dcterms:created>
  <dc:creator>郭超(退回修改.)</dc:creator>
  <cp:lastModifiedBy>Administrator</cp:lastModifiedBy>
  <dcterms:modified xsi:type="dcterms:W3CDTF">2021-03-12T07:41:21Z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